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F3A3" w14:textId="77777777" w:rsidR="00F04333" w:rsidRPr="006C3765" w:rsidRDefault="00F04333" w:rsidP="00F04333">
      <w:pPr>
        <w:spacing w:after="0" w:line="240" w:lineRule="auto"/>
        <w:ind w:right="4"/>
        <w:jc w:val="center"/>
        <w:rPr>
          <w:rFonts w:ascii="Cambria" w:hAnsi="Cambria"/>
          <w:b/>
          <w:color w:val="000000" w:themeColor="text1"/>
          <w:lang w:val="es-US"/>
        </w:rPr>
      </w:pPr>
      <w:r w:rsidRPr="006C3765">
        <w:rPr>
          <w:rFonts w:ascii="Cambria" w:hAnsi="Cambria"/>
          <w:b/>
          <w:color w:val="000000" w:themeColor="text1"/>
          <w:lang w:val="es-US"/>
        </w:rPr>
        <w:t>FICHA TÉCNICA INFORMATIVA</w:t>
      </w:r>
    </w:p>
    <w:p w14:paraId="33B38B0F" w14:textId="77777777" w:rsidR="00F04333" w:rsidRPr="000A6206" w:rsidRDefault="00F04333" w:rsidP="00F04333">
      <w:pPr>
        <w:spacing w:after="0" w:line="240" w:lineRule="auto"/>
        <w:ind w:right="4"/>
        <w:jc w:val="center"/>
        <w:rPr>
          <w:rFonts w:ascii="Cambria" w:eastAsia="Batang" w:hAnsi="Cambria"/>
          <w:b/>
          <w:color w:val="000000" w:themeColor="text1"/>
          <w:lang w:val="es-CO" w:eastAsia="es-ES_tradnl"/>
        </w:rPr>
      </w:pPr>
      <w:r w:rsidRPr="000A6206">
        <w:rPr>
          <w:rFonts w:ascii="Cambria" w:eastAsia="Batang" w:hAnsi="Cambria"/>
          <w:b/>
          <w:color w:val="000000" w:themeColor="text1"/>
          <w:lang w:val="es-CO" w:eastAsia="es-ES_tradnl"/>
        </w:rPr>
        <w:t>PETICIÓN 1376 – 19 SILVIA ANGÉLICA FLORES MOSQUERA</w:t>
      </w:r>
    </w:p>
    <w:p w14:paraId="09EA85EF" w14:textId="77777777" w:rsidR="00F04333" w:rsidRPr="006C3765" w:rsidRDefault="00F04333" w:rsidP="00F04333">
      <w:pPr>
        <w:spacing w:after="0" w:line="240" w:lineRule="auto"/>
        <w:ind w:right="4"/>
        <w:jc w:val="center"/>
        <w:rPr>
          <w:rFonts w:ascii="Cambria" w:eastAsia="Batang" w:hAnsi="Cambria"/>
          <w:b/>
          <w:color w:val="000000" w:themeColor="text1"/>
          <w:lang w:val="es-CO" w:eastAsia="es-ES_tradnl"/>
        </w:rPr>
      </w:pPr>
      <w:r w:rsidRPr="006C3765">
        <w:rPr>
          <w:rFonts w:ascii="Cambria" w:eastAsia="Batang" w:hAnsi="Cambria"/>
          <w:b/>
          <w:color w:val="000000" w:themeColor="text1"/>
          <w:lang w:val="es-CO"/>
        </w:rPr>
        <w:t xml:space="preserve">INFORME DE SOLUCIÓN AMISTOSA </w:t>
      </w:r>
      <w:r w:rsidRPr="000A6206">
        <w:rPr>
          <w:rFonts w:ascii="Cambria" w:eastAsia="Batang" w:hAnsi="Cambria"/>
          <w:b/>
          <w:color w:val="000000" w:themeColor="text1"/>
          <w:lang w:val="es-CO"/>
        </w:rPr>
        <w:t xml:space="preserve">No. </w:t>
      </w:r>
      <w:hyperlink r:id="rId12" w:history="1">
        <w:r w:rsidRPr="000A6206">
          <w:rPr>
            <w:rStyle w:val="Hyperlink"/>
            <w:rFonts w:ascii="Cambria" w:hAnsi="Cambria"/>
            <w:b/>
            <w:color w:val="000000" w:themeColor="text1"/>
            <w:lang w:val="es-CO"/>
          </w:rPr>
          <w:t>183/22</w:t>
        </w:r>
      </w:hyperlink>
    </w:p>
    <w:p w14:paraId="0520E03E" w14:textId="77777777" w:rsidR="00F04333" w:rsidRPr="006C3765" w:rsidRDefault="00F04333" w:rsidP="00F04333">
      <w:pPr>
        <w:spacing w:after="0" w:line="240" w:lineRule="auto"/>
        <w:ind w:right="4"/>
        <w:jc w:val="center"/>
        <w:rPr>
          <w:rFonts w:ascii="Cambria" w:eastAsia="Batang" w:hAnsi="Cambria"/>
          <w:b/>
          <w:color w:val="000000" w:themeColor="text1"/>
          <w:lang w:val="es-CO"/>
        </w:rPr>
      </w:pPr>
      <w:r w:rsidRPr="006C3765">
        <w:rPr>
          <w:rFonts w:ascii="Cambria" w:eastAsia="Batang" w:hAnsi="Cambria"/>
          <w:b/>
          <w:color w:val="000000" w:themeColor="text1"/>
          <w:lang w:val="es-CO"/>
        </w:rPr>
        <w:t>CUMPLIMIENTO TOTAL</w:t>
      </w:r>
    </w:p>
    <w:p w14:paraId="594769C3" w14:textId="77777777" w:rsidR="00F04333" w:rsidRPr="006D6F0D" w:rsidRDefault="00F04333" w:rsidP="00F04333">
      <w:pPr>
        <w:spacing w:after="0" w:line="240" w:lineRule="auto"/>
        <w:ind w:right="4"/>
        <w:jc w:val="center"/>
        <w:rPr>
          <w:rFonts w:ascii="Cambria" w:eastAsia="Batang" w:hAnsi="Cambria"/>
          <w:b/>
          <w:color w:val="000000" w:themeColor="text1"/>
          <w:lang w:val="es-CO"/>
        </w:rPr>
      </w:pPr>
      <w:r w:rsidRPr="000A6206">
        <w:rPr>
          <w:rFonts w:ascii="Cambria" w:eastAsia="Batang" w:hAnsi="Cambria"/>
          <w:b/>
          <w:color w:val="000000" w:themeColor="text1"/>
          <w:lang w:val="es-CO"/>
        </w:rPr>
        <w:t>(URUGUAY)</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0A6206" w14:paraId="78B6CDC5" w14:textId="77777777" w:rsidTr="00F024F0">
        <w:trPr>
          <w:trHeight w:val="4517"/>
        </w:trPr>
        <w:tc>
          <w:tcPr>
            <w:tcW w:w="9377" w:type="dxa"/>
            <w:shd w:val="clear" w:color="auto" w:fill="F2F2F2"/>
          </w:tcPr>
          <w:p w14:paraId="32B2659D" w14:textId="77777777" w:rsidR="00F04333" w:rsidRPr="000A6206" w:rsidRDefault="00F04333" w:rsidP="00F04333">
            <w:pPr>
              <w:spacing w:after="0" w:line="240" w:lineRule="auto"/>
              <w:jc w:val="both"/>
              <w:rPr>
                <w:rFonts w:ascii="Cambria" w:eastAsia="Batang" w:hAnsi="Cambria"/>
                <w:bCs/>
                <w:color w:val="080808"/>
                <w:sz w:val="20"/>
                <w:szCs w:val="20"/>
                <w:lang w:val="es-CO"/>
              </w:rPr>
            </w:pPr>
            <w:r w:rsidRPr="000A6206">
              <w:rPr>
                <w:rFonts w:ascii="Cambria" w:eastAsia="Batang" w:hAnsi="Cambria"/>
                <w:b/>
                <w:color w:val="080808"/>
                <w:sz w:val="20"/>
                <w:szCs w:val="20"/>
                <w:lang w:val="es-CO"/>
              </w:rPr>
              <w:t xml:space="preserve">Víctima (s): </w:t>
            </w:r>
            <w:r w:rsidRPr="000A6206">
              <w:rPr>
                <w:rFonts w:ascii="Cambria" w:eastAsia="Batang" w:hAnsi="Cambria"/>
                <w:bCs/>
                <w:color w:val="080808"/>
                <w:sz w:val="20"/>
                <w:szCs w:val="20"/>
                <w:lang w:val="es-CO"/>
              </w:rPr>
              <w:t>Silvia angélica Flores Mosquera</w:t>
            </w:r>
          </w:p>
          <w:p w14:paraId="00F10D3C"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color w:val="080808"/>
                <w:sz w:val="20"/>
                <w:szCs w:val="20"/>
                <w:lang w:val="es-CO"/>
              </w:rPr>
              <w:t xml:space="preserve">Peticionario (s): </w:t>
            </w:r>
            <w:r w:rsidRPr="000A6206">
              <w:rPr>
                <w:rFonts w:ascii="Cambria" w:eastAsia="Batang" w:hAnsi="Cambria"/>
                <w:color w:val="080808"/>
                <w:sz w:val="20"/>
                <w:szCs w:val="20"/>
                <w:lang w:val="es-CO"/>
              </w:rPr>
              <w:t>Silvia Angélica Flores Mosquera</w:t>
            </w:r>
          </w:p>
          <w:p w14:paraId="3A955811"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color w:val="080808"/>
                <w:sz w:val="20"/>
                <w:szCs w:val="20"/>
                <w:lang w:val="es-CO"/>
              </w:rPr>
              <w:t xml:space="preserve">Estado: </w:t>
            </w:r>
            <w:r w:rsidRPr="000A6206">
              <w:rPr>
                <w:rFonts w:ascii="Cambria" w:eastAsia="Batang" w:hAnsi="Cambria"/>
                <w:bCs/>
                <w:color w:val="080808"/>
                <w:sz w:val="20"/>
                <w:szCs w:val="20"/>
                <w:lang w:val="es-CO"/>
              </w:rPr>
              <w:t>Uruguay</w:t>
            </w:r>
          </w:p>
          <w:p w14:paraId="0E605088"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bCs/>
                <w:color w:val="080808"/>
                <w:sz w:val="20"/>
                <w:szCs w:val="20"/>
                <w:lang w:val="es-CO"/>
              </w:rPr>
              <w:t xml:space="preserve">Fecha de inicio de las negociaciones: </w:t>
            </w:r>
            <w:r w:rsidRPr="000A6206">
              <w:rPr>
                <w:rFonts w:ascii="Cambria" w:eastAsia="Batang" w:hAnsi="Cambria"/>
                <w:bCs/>
                <w:color w:val="080808"/>
                <w:sz w:val="20"/>
                <w:szCs w:val="20"/>
                <w:lang w:val="es-CO"/>
              </w:rPr>
              <w:t>5 de abril de 2022</w:t>
            </w:r>
            <w:r w:rsidRPr="000A6206">
              <w:rPr>
                <w:rFonts w:ascii="Cambria" w:eastAsia="Batang" w:hAnsi="Cambria"/>
                <w:b/>
                <w:bCs/>
                <w:color w:val="080808"/>
                <w:sz w:val="20"/>
                <w:szCs w:val="20"/>
                <w:lang w:val="es-CO"/>
              </w:rPr>
              <w:t xml:space="preserve"> </w:t>
            </w:r>
          </w:p>
          <w:p w14:paraId="1FFE33DF"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bCs/>
                <w:color w:val="080808"/>
                <w:sz w:val="20"/>
                <w:szCs w:val="20"/>
                <w:lang w:val="es-CO"/>
              </w:rPr>
              <w:t xml:space="preserve">Fecha de Firma de ASA: </w:t>
            </w:r>
            <w:r w:rsidRPr="000A6206">
              <w:rPr>
                <w:rFonts w:ascii="Cambria" w:eastAsia="Batang" w:hAnsi="Cambria"/>
                <w:bCs/>
                <w:color w:val="080808"/>
                <w:sz w:val="20"/>
                <w:szCs w:val="20"/>
                <w:lang w:val="es-CO"/>
              </w:rPr>
              <w:t>10 de agosto de 2022</w:t>
            </w:r>
          </w:p>
          <w:p w14:paraId="7618A9E8" w14:textId="77777777" w:rsidR="00F04333" w:rsidRPr="000A6206" w:rsidRDefault="00F04333" w:rsidP="00F04333">
            <w:pPr>
              <w:spacing w:after="0" w:line="240" w:lineRule="auto"/>
              <w:jc w:val="both"/>
              <w:rPr>
                <w:rFonts w:ascii="Cambria" w:eastAsia="Batang" w:hAnsi="Cambria"/>
                <w:b/>
                <w:bCs/>
                <w:color w:val="080808"/>
                <w:sz w:val="20"/>
                <w:szCs w:val="20"/>
                <w:lang w:val="es-CO"/>
              </w:rPr>
            </w:pPr>
            <w:r w:rsidRPr="000A6206">
              <w:rPr>
                <w:rFonts w:ascii="Cambria" w:eastAsia="Batang" w:hAnsi="Cambria"/>
                <w:b/>
                <w:bCs/>
                <w:color w:val="080808"/>
                <w:sz w:val="20"/>
                <w:szCs w:val="20"/>
                <w:lang w:val="es-CO"/>
              </w:rPr>
              <w:t>Informe de Admisibilidad N</w:t>
            </w:r>
            <w:r w:rsidRPr="000A6206">
              <w:rPr>
                <w:rFonts w:ascii="Cambria" w:eastAsia="Batang" w:hAnsi="Cambria"/>
                <w:b/>
                <w:color w:val="080808"/>
                <w:sz w:val="20"/>
                <w:szCs w:val="20"/>
                <w:lang w:val="es-CO"/>
              </w:rPr>
              <w:t>º</w:t>
            </w:r>
            <w:r w:rsidRPr="000A6206">
              <w:rPr>
                <w:rFonts w:ascii="Cambria" w:eastAsia="Batang" w:hAnsi="Cambria"/>
                <w:b/>
                <w:bCs/>
                <w:color w:val="080808"/>
                <w:sz w:val="20"/>
                <w:szCs w:val="20"/>
                <w:lang w:val="es-CO"/>
              </w:rPr>
              <w:t>:</w:t>
            </w:r>
            <w:r w:rsidRPr="000A6206">
              <w:rPr>
                <w:rFonts w:ascii="Cambria" w:eastAsia="Batang" w:hAnsi="Cambria"/>
                <w:b/>
                <w:color w:val="080808"/>
                <w:sz w:val="20"/>
                <w:szCs w:val="20"/>
                <w:lang w:val="es-CO"/>
              </w:rPr>
              <w:t xml:space="preserve"> </w:t>
            </w:r>
            <w:r w:rsidRPr="000A6206">
              <w:rPr>
                <w:rFonts w:ascii="Cambria" w:eastAsia="Batang" w:hAnsi="Cambria"/>
                <w:bCs/>
                <w:color w:val="080808"/>
                <w:sz w:val="20"/>
                <w:szCs w:val="20"/>
                <w:lang w:val="es-CO"/>
              </w:rPr>
              <w:t>N/A</w:t>
            </w:r>
          </w:p>
          <w:p w14:paraId="2B3B1674"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color w:val="080808"/>
                <w:sz w:val="20"/>
                <w:szCs w:val="20"/>
                <w:lang w:val="es-CO"/>
              </w:rPr>
              <w:t xml:space="preserve">Informe de Acuerdo de Solución Amistosa Nº: </w:t>
            </w:r>
            <w:hyperlink r:id="rId13" w:history="1">
              <w:r w:rsidRPr="000A6206">
                <w:rPr>
                  <w:rStyle w:val="Hyperlink"/>
                  <w:rFonts w:ascii="Cambria" w:eastAsia="Batang" w:hAnsi="Cambria"/>
                  <w:b/>
                  <w:bCs/>
                  <w:color w:val="000000" w:themeColor="text1"/>
                  <w:sz w:val="20"/>
                  <w:szCs w:val="20"/>
                  <w:lang w:val="es-CO"/>
                </w:rPr>
                <w:t>183/22</w:t>
              </w:r>
            </w:hyperlink>
            <w:r w:rsidRPr="000A6206">
              <w:rPr>
                <w:rFonts w:ascii="Cambria" w:eastAsia="Batang" w:hAnsi="Cambria"/>
                <w:b/>
                <w:bCs/>
                <w:color w:val="000000" w:themeColor="text1"/>
                <w:sz w:val="20"/>
                <w:szCs w:val="20"/>
                <w:lang w:val="es-CO"/>
              </w:rPr>
              <w:t xml:space="preserve"> </w:t>
            </w:r>
            <w:r w:rsidRPr="000A6206">
              <w:rPr>
                <w:rFonts w:ascii="Cambria" w:eastAsia="Batang" w:hAnsi="Cambria"/>
                <w:color w:val="000000" w:themeColor="text1"/>
                <w:sz w:val="20"/>
                <w:szCs w:val="20"/>
                <w:lang w:val="es-CO"/>
              </w:rPr>
              <w:t>publicado el 15 de agosto de 2022</w:t>
            </w:r>
          </w:p>
          <w:p w14:paraId="14D92CA5" w14:textId="77777777" w:rsidR="00F04333" w:rsidRPr="000A6206" w:rsidRDefault="00F04333" w:rsidP="00F04333">
            <w:pPr>
              <w:spacing w:after="0" w:line="240" w:lineRule="auto"/>
              <w:jc w:val="both"/>
              <w:rPr>
                <w:rFonts w:ascii="Cambria" w:eastAsia="Batang" w:hAnsi="Cambria"/>
                <w:bCs/>
                <w:color w:val="080808"/>
                <w:sz w:val="20"/>
                <w:szCs w:val="20"/>
                <w:lang w:val="es-CO"/>
              </w:rPr>
            </w:pPr>
            <w:r w:rsidRPr="000A6206">
              <w:rPr>
                <w:rFonts w:ascii="Cambria" w:eastAsia="Batang" w:hAnsi="Cambria"/>
                <w:b/>
                <w:bCs/>
                <w:color w:val="080808"/>
                <w:sz w:val="20"/>
                <w:szCs w:val="20"/>
                <w:lang w:val="es-CO"/>
              </w:rPr>
              <w:t xml:space="preserve">Duración estimada de la fase de negociación: </w:t>
            </w:r>
            <w:r w:rsidRPr="000A6206">
              <w:rPr>
                <w:rFonts w:ascii="Cambria" w:eastAsia="Batang" w:hAnsi="Cambria"/>
                <w:bCs/>
                <w:color w:val="080808"/>
                <w:sz w:val="20"/>
                <w:szCs w:val="20"/>
                <w:lang w:val="es-CO"/>
              </w:rPr>
              <w:t>4 meses</w:t>
            </w:r>
          </w:p>
          <w:p w14:paraId="6A927AE0" w14:textId="77777777" w:rsidR="00F04333" w:rsidRPr="000A6206" w:rsidRDefault="00F04333" w:rsidP="00F04333">
            <w:pPr>
              <w:spacing w:after="0" w:line="240" w:lineRule="auto"/>
              <w:jc w:val="both"/>
              <w:rPr>
                <w:rFonts w:ascii="Cambria" w:eastAsia="Batang" w:hAnsi="Cambria"/>
                <w:b/>
                <w:color w:val="080808"/>
                <w:sz w:val="20"/>
                <w:szCs w:val="20"/>
                <w:lang w:val="es-CO"/>
              </w:rPr>
            </w:pPr>
            <w:r w:rsidRPr="000A6206">
              <w:rPr>
                <w:rFonts w:ascii="Cambria" w:eastAsia="Batang" w:hAnsi="Cambria"/>
                <w:b/>
                <w:color w:val="080808"/>
                <w:sz w:val="20"/>
                <w:szCs w:val="20"/>
                <w:lang w:val="es-CO"/>
              </w:rPr>
              <w:t xml:space="preserve">Relatoría vinculada: </w:t>
            </w:r>
            <w:r w:rsidRPr="000A6206">
              <w:rPr>
                <w:rFonts w:ascii="Cambria" w:eastAsia="Batang" w:hAnsi="Cambria"/>
                <w:bCs/>
                <w:color w:val="080808"/>
                <w:sz w:val="20"/>
                <w:szCs w:val="20"/>
                <w:lang w:val="es-CO"/>
              </w:rPr>
              <w:t>Personas Mayores, Personas con Discapacidad, Memoria, Verdad y Justicia</w:t>
            </w:r>
          </w:p>
          <w:p w14:paraId="1080C16A" w14:textId="77777777" w:rsidR="00F04333" w:rsidRPr="000A6206" w:rsidRDefault="00F04333" w:rsidP="00F04333">
            <w:pPr>
              <w:spacing w:after="0" w:line="240" w:lineRule="auto"/>
              <w:jc w:val="both"/>
              <w:rPr>
                <w:rFonts w:ascii="Cambria" w:eastAsia="Batang" w:hAnsi="Cambria"/>
                <w:color w:val="080808"/>
                <w:sz w:val="20"/>
                <w:szCs w:val="20"/>
                <w:lang w:val="es-CO"/>
              </w:rPr>
            </w:pPr>
            <w:r w:rsidRPr="000A6206">
              <w:rPr>
                <w:rFonts w:ascii="Cambria" w:eastAsia="Batang" w:hAnsi="Cambria"/>
                <w:b/>
                <w:color w:val="080808"/>
                <w:sz w:val="20"/>
                <w:szCs w:val="20"/>
                <w:lang w:val="es-CO"/>
              </w:rPr>
              <w:t>Temas:</w:t>
            </w:r>
            <w:r w:rsidRPr="000A6206">
              <w:rPr>
                <w:rFonts w:ascii="Cambria" w:eastAsia="Batang" w:hAnsi="Cambria"/>
                <w:b/>
                <w:bCs/>
                <w:color w:val="080808"/>
                <w:sz w:val="20"/>
                <w:szCs w:val="20"/>
                <w:lang w:val="es-CO"/>
              </w:rPr>
              <w:t xml:space="preserve"> </w:t>
            </w:r>
            <w:r w:rsidRPr="000A6206">
              <w:rPr>
                <w:rFonts w:ascii="Cambria" w:eastAsia="Batang" w:hAnsi="Cambria"/>
                <w:color w:val="080808"/>
                <w:sz w:val="20"/>
                <w:szCs w:val="20"/>
                <w:lang w:val="es-CO"/>
              </w:rPr>
              <w:t>Derecho a la Seguridad Social/ Garantías Judiciales/ Igualdad y No Discriminación</w:t>
            </w:r>
          </w:p>
          <w:p w14:paraId="3688B169" w14:textId="77777777" w:rsidR="00F04333" w:rsidRPr="000A6206" w:rsidRDefault="00F04333" w:rsidP="00F04333">
            <w:pPr>
              <w:spacing w:after="0" w:line="240" w:lineRule="auto"/>
              <w:jc w:val="both"/>
              <w:rPr>
                <w:rFonts w:ascii="Cambria" w:eastAsia="Batang" w:hAnsi="Cambria"/>
                <w:b/>
                <w:color w:val="080808"/>
                <w:sz w:val="20"/>
                <w:szCs w:val="20"/>
                <w:lang w:val="es-CO"/>
              </w:rPr>
            </w:pPr>
          </w:p>
          <w:p w14:paraId="350AE1F0" w14:textId="77777777" w:rsidR="00F04333" w:rsidRPr="000A6206" w:rsidRDefault="00F04333" w:rsidP="00F04333">
            <w:pPr>
              <w:spacing w:after="0" w:line="240" w:lineRule="auto"/>
              <w:jc w:val="both"/>
              <w:rPr>
                <w:rFonts w:ascii="Cambria" w:eastAsia="Batang" w:hAnsi="Cambria"/>
                <w:bCs/>
                <w:color w:val="080808"/>
                <w:sz w:val="20"/>
                <w:szCs w:val="20"/>
                <w:lang w:val="es-ES_tradnl"/>
              </w:rPr>
            </w:pPr>
            <w:r w:rsidRPr="000A6206">
              <w:rPr>
                <w:rFonts w:ascii="Cambria" w:eastAsia="Batang" w:hAnsi="Cambria"/>
                <w:b/>
                <w:color w:val="080808"/>
                <w:sz w:val="20"/>
                <w:szCs w:val="20"/>
                <w:lang w:val="es-CO"/>
              </w:rPr>
              <w:t xml:space="preserve">Hechos: </w:t>
            </w:r>
            <w:r w:rsidRPr="000A6206">
              <w:rPr>
                <w:rFonts w:ascii="Cambria" w:eastAsia="Batang" w:hAnsi="Cambria"/>
                <w:bCs/>
                <w:color w:val="080808"/>
                <w:sz w:val="20"/>
                <w:szCs w:val="20"/>
                <w:lang w:val="es-ES_tradnl"/>
              </w:rPr>
              <w:t>Según lo alegado en la petición, la peticionaria habría sido declarada víctima del Terrorismo de Estado según lo dispuesto en la Ley 18.596. En su relato, la peticionaria indicó que habría sido obligada a renunciar a su pensión por discapacidad para recibir la Pensión Especial Reparatoria – PER, a la cual aduce debía tener acceso luego del fallecimiento de su marido Carlos Robles quien habría sido, igualmente, declarado víctima del Terrorismo de Estado y acreedor de la PER conforme a lo dispuesto en el artículo 11 de la Ley 18.033 y el artículo 6 del Decreto Reglamentario 106/007. Según consta en la documentación aportada por la peticionaria, el 17 de enero de 2019, la peticionaria habría presentado una petición ante el Órgano Ejecutivo para que modificara la Ley 18.033. Al respecto, la peticionaria indicó que no habría obtenido una respuesta.</w:t>
            </w:r>
          </w:p>
          <w:p w14:paraId="7D8A7107" w14:textId="77777777" w:rsidR="00F04333" w:rsidRPr="000A6206" w:rsidRDefault="00F04333" w:rsidP="00F04333">
            <w:pPr>
              <w:spacing w:after="0" w:line="240" w:lineRule="auto"/>
              <w:jc w:val="both"/>
              <w:rPr>
                <w:rFonts w:ascii="Cambria" w:eastAsia="Batang" w:hAnsi="Cambria"/>
                <w:b/>
                <w:color w:val="080808"/>
                <w:sz w:val="20"/>
                <w:szCs w:val="20"/>
                <w:lang w:val="es-ES_tradnl"/>
              </w:rPr>
            </w:pPr>
            <w:r w:rsidRPr="000A6206">
              <w:rPr>
                <w:rFonts w:ascii="Cambria" w:eastAsia="Batang" w:hAnsi="Cambria"/>
                <w:bCs/>
                <w:color w:val="080808"/>
                <w:sz w:val="20"/>
                <w:szCs w:val="20"/>
                <w:lang w:val="es-ES_tradnl"/>
              </w:rPr>
              <w:t>Asimismo, la peticionaria alegó que, el 7 de agosto de 2019, presentó ante la Suprema Corte de Justicia una acción de declaración de inconstitucionalidad del inciso 2 del artículo 11 de la ley 18.033. Con posterioridad, el 2 de diciembre de 2019, la Corte habría desestimado la acción instaurada.</w:t>
            </w:r>
          </w:p>
          <w:p w14:paraId="039EA89A" w14:textId="431F0644" w:rsidR="000F6AC8" w:rsidRPr="000A6206" w:rsidRDefault="00F04333" w:rsidP="00F04333">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0A6206">
              <w:rPr>
                <w:rFonts w:ascii="Cambria" w:eastAsia="Batang" w:hAnsi="Cambria"/>
                <w:b/>
                <w:color w:val="080808"/>
                <w:sz w:val="20"/>
                <w:szCs w:val="20"/>
                <w:lang w:val="es-CO"/>
              </w:rPr>
              <w:t xml:space="preserve">Derechos alegados: </w:t>
            </w:r>
            <w:r w:rsidRPr="000A6206">
              <w:rPr>
                <w:rFonts w:ascii="Cambria" w:eastAsia="Batang" w:hAnsi="Cambria"/>
                <w:color w:val="080808"/>
                <w:sz w:val="20"/>
                <w:szCs w:val="20"/>
                <w:lang w:val="es-CO"/>
              </w:rPr>
              <w:t>El 4 de junio de 2019 la Comisión Interamericana de Derechos Humanos recibió una petición presentada por la señora Silvia Angélica Flores Mosquera, en la cual se alegaba la responsabilidad internacional de la República de Uruguay por la violación de derechos contemplados en diversos instrumentos internacionales, por alegadamente no haber tenido acceso a un beneficio de prestación social establecido en la Ley 18.596 del 18 de septiembre de 2009. A pesar de haber sido reconocida como víctima de la dictadura entre el 9 de febrero de 1973 y el 28 de febrero de 1985.</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5D397683" w14:textId="77777777" w:rsidR="00BD6A10" w:rsidRPr="00AB09A9" w:rsidRDefault="00BD6A10" w:rsidP="00BD6A10">
      <w:pPr>
        <w:spacing w:after="0" w:line="240" w:lineRule="auto"/>
        <w:ind w:left="720"/>
        <w:contextualSpacing/>
        <w:rPr>
          <w:rFonts w:ascii="Cambria" w:eastAsia="Batang" w:hAnsi="Cambria"/>
          <w:b/>
          <w:color w:val="080808"/>
          <w:lang w:val="es-CO"/>
        </w:rPr>
      </w:pPr>
    </w:p>
    <w:p w14:paraId="539AEB3D" w14:textId="1F3C9C74" w:rsidR="00950102" w:rsidRPr="00125F13" w:rsidRDefault="00950102" w:rsidP="00950102">
      <w:pPr>
        <w:numPr>
          <w:ilvl w:val="0"/>
          <w:numId w:val="45"/>
        </w:numPr>
        <w:tabs>
          <w:tab w:val="left" w:pos="1440"/>
        </w:tabs>
        <w:spacing w:after="0" w:line="240" w:lineRule="auto"/>
        <w:ind w:left="0" w:firstLine="720"/>
        <w:jc w:val="both"/>
        <w:rPr>
          <w:rFonts w:ascii="Cambria" w:eastAsia="Batang" w:hAnsi="Cambria" w:cs="Calibri Light"/>
          <w:color w:val="000000"/>
          <w:sz w:val="20"/>
          <w:szCs w:val="20"/>
          <w:lang w:val="es-CO"/>
        </w:rPr>
      </w:pPr>
      <w:r w:rsidRPr="00125F13">
        <w:rPr>
          <w:rFonts w:ascii="Cambria" w:eastAsia="Batang" w:hAnsi="Cambria" w:cs="Calibri Light"/>
          <w:color w:val="000000"/>
          <w:sz w:val="20"/>
          <w:szCs w:val="20"/>
          <w:lang w:val="es-CO"/>
        </w:rPr>
        <w:t>El 1</w:t>
      </w:r>
      <w:r>
        <w:rPr>
          <w:rFonts w:ascii="Cambria" w:eastAsia="Batang" w:hAnsi="Cambria" w:cs="Calibri Light"/>
          <w:color w:val="000000"/>
          <w:sz w:val="20"/>
          <w:szCs w:val="20"/>
          <w:lang w:val="es-CO"/>
        </w:rPr>
        <w:t xml:space="preserve">0 </w:t>
      </w:r>
      <w:r w:rsidRPr="00125F13">
        <w:rPr>
          <w:rFonts w:ascii="Cambria" w:eastAsia="Batang" w:hAnsi="Cambria" w:cs="Calibri Light"/>
          <w:color w:val="000000"/>
          <w:sz w:val="20"/>
          <w:szCs w:val="20"/>
          <w:lang w:val="es-CO"/>
        </w:rPr>
        <w:t>de agosto de 20</w:t>
      </w:r>
      <w:r>
        <w:rPr>
          <w:rFonts w:ascii="Cambria" w:eastAsia="Batang" w:hAnsi="Cambria" w:cs="Calibri Light"/>
          <w:color w:val="000000"/>
          <w:sz w:val="20"/>
          <w:szCs w:val="20"/>
          <w:lang w:val="es-CO"/>
        </w:rPr>
        <w:t>22</w:t>
      </w:r>
      <w:r w:rsidRPr="00125F13">
        <w:rPr>
          <w:rFonts w:ascii="Cambria" w:eastAsia="Batang" w:hAnsi="Cambria" w:cs="Calibri Light"/>
          <w:color w:val="000000"/>
          <w:sz w:val="20"/>
          <w:szCs w:val="20"/>
          <w:lang w:val="es-CO"/>
        </w:rPr>
        <w:t xml:space="preserve">, las partes firmaron un acuerdo de solución amistosa. </w:t>
      </w:r>
    </w:p>
    <w:p w14:paraId="793F55BA" w14:textId="77777777" w:rsidR="00950102" w:rsidRPr="00125F13" w:rsidRDefault="00950102" w:rsidP="00950102">
      <w:pPr>
        <w:tabs>
          <w:tab w:val="left" w:pos="1440"/>
        </w:tabs>
        <w:spacing w:after="0" w:line="240" w:lineRule="auto"/>
        <w:ind w:left="720"/>
        <w:jc w:val="both"/>
        <w:rPr>
          <w:rFonts w:ascii="Cambria" w:eastAsia="Batang" w:hAnsi="Cambria" w:cs="Calibri Light"/>
          <w:color w:val="000000"/>
          <w:sz w:val="20"/>
          <w:szCs w:val="20"/>
          <w:lang w:val="es-CO"/>
        </w:rPr>
      </w:pPr>
    </w:p>
    <w:p w14:paraId="0DC8C738" w14:textId="7DF62341" w:rsidR="00950102" w:rsidRPr="00125F13" w:rsidRDefault="00950102" w:rsidP="00950102">
      <w:pPr>
        <w:numPr>
          <w:ilvl w:val="0"/>
          <w:numId w:val="45"/>
        </w:numPr>
        <w:tabs>
          <w:tab w:val="left" w:pos="1440"/>
        </w:tabs>
        <w:spacing w:after="0" w:line="240" w:lineRule="auto"/>
        <w:ind w:left="0" w:firstLine="720"/>
        <w:jc w:val="both"/>
        <w:rPr>
          <w:rFonts w:ascii="Cambria" w:eastAsia="Batang" w:hAnsi="Cambria" w:cs="Calibri Light"/>
          <w:color w:val="000000"/>
          <w:sz w:val="20"/>
          <w:szCs w:val="20"/>
          <w:lang w:val="es-CO"/>
        </w:rPr>
      </w:pPr>
      <w:r w:rsidRPr="00125F13">
        <w:rPr>
          <w:rFonts w:ascii="Cambria" w:eastAsia="Batang" w:hAnsi="Cambria" w:cs="Calibri Light"/>
          <w:color w:val="000000"/>
          <w:sz w:val="20"/>
          <w:szCs w:val="20"/>
          <w:lang w:val="es-CO"/>
        </w:rPr>
        <w:t xml:space="preserve">El </w:t>
      </w:r>
      <w:r>
        <w:rPr>
          <w:rFonts w:ascii="Cambria" w:eastAsia="Batang" w:hAnsi="Cambria" w:cs="Calibri Light"/>
          <w:color w:val="000000"/>
          <w:sz w:val="20"/>
          <w:szCs w:val="20"/>
          <w:lang w:val="es-CO"/>
        </w:rPr>
        <w:t>1</w:t>
      </w:r>
      <w:r w:rsidRPr="00125F13">
        <w:rPr>
          <w:rFonts w:ascii="Cambria" w:eastAsia="Batang" w:hAnsi="Cambria" w:cs="Calibri Light"/>
          <w:color w:val="000000"/>
          <w:sz w:val="20"/>
          <w:szCs w:val="20"/>
          <w:lang w:val="es-CO"/>
        </w:rPr>
        <w:t xml:space="preserve">5 de </w:t>
      </w:r>
      <w:r>
        <w:rPr>
          <w:rFonts w:ascii="Cambria" w:eastAsia="Batang" w:hAnsi="Cambria" w:cs="Calibri Light"/>
          <w:color w:val="000000"/>
          <w:sz w:val="20"/>
          <w:szCs w:val="20"/>
          <w:lang w:val="es-CO"/>
        </w:rPr>
        <w:t xml:space="preserve">agosto </w:t>
      </w:r>
      <w:r w:rsidRPr="00125F13">
        <w:rPr>
          <w:rFonts w:ascii="Cambria" w:eastAsia="Batang" w:hAnsi="Cambria" w:cs="Calibri Light"/>
          <w:color w:val="000000"/>
          <w:sz w:val="20"/>
          <w:szCs w:val="20"/>
          <w:lang w:val="es-CO"/>
        </w:rPr>
        <w:t>de 20</w:t>
      </w:r>
      <w:r>
        <w:rPr>
          <w:rFonts w:ascii="Cambria" w:eastAsia="Batang" w:hAnsi="Cambria" w:cs="Calibri Light"/>
          <w:color w:val="000000"/>
          <w:sz w:val="20"/>
          <w:szCs w:val="20"/>
          <w:lang w:val="es-CO"/>
        </w:rPr>
        <w:t>22</w:t>
      </w:r>
      <w:r w:rsidRPr="00125F13">
        <w:rPr>
          <w:rFonts w:ascii="Cambria" w:eastAsia="Batang" w:hAnsi="Cambria" w:cs="Calibri Light"/>
          <w:color w:val="000000"/>
          <w:sz w:val="20"/>
          <w:szCs w:val="20"/>
          <w:lang w:val="es-CO"/>
        </w:rPr>
        <w:t>, la CIDH publicó el informe de homologación No. 1</w:t>
      </w:r>
      <w:r>
        <w:rPr>
          <w:rFonts w:ascii="Cambria" w:eastAsia="Batang" w:hAnsi="Cambria" w:cs="Calibri Light"/>
          <w:color w:val="000000"/>
          <w:sz w:val="20"/>
          <w:szCs w:val="20"/>
          <w:lang w:val="es-CO"/>
        </w:rPr>
        <w:t>83</w:t>
      </w:r>
      <w:r w:rsidRPr="00125F13">
        <w:rPr>
          <w:rFonts w:ascii="Cambria" w:eastAsia="Batang" w:hAnsi="Cambria" w:cs="Calibri Light"/>
          <w:color w:val="000000"/>
          <w:sz w:val="20"/>
          <w:szCs w:val="20"/>
          <w:lang w:val="es-CO"/>
        </w:rPr>
        <w:t>/</w:t>
      </w:r>
      <w:r>
        <w:rPr>
          <w:rFonts w:ascii="Cambria" w:eastAsia="Batang" w:hAnsi="Cambria" w:cs="Calibri Light"/>
          <w:color w:val="000000"/>
          <w:sz w:val="20"/>
          <w:szCs w:val="20"/>
          <w:lang w:val="es-CO"/>
        </w:rPr>
        <w:t>22, aprobando el acuerdo de solución amistosa</w:t>
      </w:r>
      <w:r w:rsidRPr="00125F13">
        <w:rPr>
          <w:rFonts w:ascii="Cambria" w:eastAsia="Batang" w:hAnsi="Cambria" w:cs="Calibri Light"/>
          <w:color w:val="000000"/>
          <w:sz w:val="20"/>
          <w:szCs w:val="20"/>
          <w:lang w:val="es-CO"/>
        </w:rPr>
        <w:t xml:space="preserve">. </w:t>
      </w:r>
    </w:p>
    <w:p w14:paraId="3687EBBD" w14:textId="77777777" w:rsidR="00950102" w:rsidRDefault="00950102" w:rsidP="00950102">
      <w:pPr>
        <w:tabs>
          <w:tab w:val="left" w:pos="1440"/>
        </w:tabs>
        <w:spacing w:after="0" w:line="240" w:lineRule="auto"/>
        <w:jc w:val="both"/>
        <w:rPr>
          <w:rFonts w:ascii="Cambria" w:eastAsia="Batang" w:hAnsi="Cambria" w:cs="Calibri Light"/>
          <w:color w:val="000000"/>
          <w:highlight w:val="yellow"/>
          <w:lang w:val="es-CO"/>
        </w:rPr>
      </w:pPr>
    </w:p>
    <w:p w14:paraId="5FE403D3" w14:textId="77777777" w:rsidR="00950102" w:rsidRDefault="00950102" w:rsidP="00950102">
      <w:pPr>
        <w:tabs>
          <w:tab w:val="left" w:pos="1440"/>
        </w:tabs>
        <w:spacing w:after="0" w:line="240" w:lineRule="auto"/>
        <w:jc w:val="both"/>
        <w:rPr>
          <w:rFonts w:ascii="Cambria" w:eastAsia="Batang" w:hAnsi="Cambria" w:cs="Calibri Light"/>
          <w:color w:val="000000"/>
          <w:highlight w:val="yellow"/>
          <w:lang w:val="es-CO"/>
        </w:rPr>
      </w:pPr>
    </w:p>
    <w:p w14:paraId="1368A3DD" w14:textId="77777777" w:rsidR="00950102" w:rsidRPr="000A6206" w:rsidRDefault="00950102" w:rsidP="000A6206">
      <w:pPr>
        <w:tabs>
          <w:tab w:val="left" w:pos="1440"/>
        </w:tabs>
        <w:spacing w:after="0" w:line="240" w:lineRule="auto"/>
        <w:jc w:val="both"/>
        <w:rPr>
          <w:rFonts w:ascii="Cambria" w:eastAsia="Batang" w:hAnsi="Cambria" w:cs="Calibri Light"/>
          <w:color w:val="000000"/>
          <w:highlight w:val="yellow"/>
          <w:lang w:val="es-CO"/>
        </w:rPr>
      </w:pPr>
    </w:p>
    <w:p w14:paraId="34E6278C" w14:textId="77777777" w:rsidR="00BD6A10" w:rsidRDefault="00BD6A10" w:rsidP="00BD6A10">
      <w:pPr>
        <w:spacing w:after="0" w:line="240" w:lineRule="auto"/>
        <w:contextualSpacing/>
        <w:rPr>
          <w:rFonts w:ascii="Cambria" w:eastAsia="Batang" w:hAnsi="Cambria"/>
          <w:b/>
          <w:color w:val="080808"/>
          <w:lang w:val="es-CO"/>
        </w:rPr>
      </w:pPr>
    </w:p>
    <w:p w14:paraId="17FE6AD0" w14:textId="77777777" w:rsidR="00A76D93" w:rsidRPr="00A76D93" w:rsidRDefault="00A76D93" w:rsidP="00A76D93">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A76D93">
        <w:rPr>
          <w:rFonts w:ascii="Cambria" w:eastAsia="Batang" w:hAnsi="Cambria" w:cs="Calibri Light"/>
          <w:b/>
          <w:color w:val="080808"/>
          <w:lang w:val="es-CO"/>
        </w:rPr>
        <w:lastRenderedPageBreak/>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B21FE2"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0A6206" w:rsidRDefault="003B3362" w:rsidP="00F024F0">
            <w:pPr>
              <w:tabs>
                <w:tab w:val="center" w:pos="2049"/>
              </w:tabs>
              <w:spacing w:after="0" w:line="240" w:lineRule="auto"/>
              <w:jc w:val="center"/>
              <w:rPr>
                <w:rFonts w:ascii="Cambria" w:eastAsia="Batang" w:hAnsi="Cambria"/>
                <w:b/>
                <w:color w:val="080808"/>
                <w:sz w:val="20"/>
                <w:szCs w:val="20"/>
                <w:lang w:val="es-CO"/>
              </w:rPr>
            </w:pPr>
            <w:r w:rsidRPr="000A6206">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0A6206" w:rsidRDefault="003B3362" w:rsidP="00F024F0">
            <w:pPr>
              <w:spacing w:after="0" w:line="240" w:lineRule="auto"/>
              <w:jc w:val="center"/>
              <w:rPr>
                <w:rFonts w:ascii="Cambria" w:eastAsia="Batang" w:hAnsi="Cambria"/>
                <w:b/>
                <w:color w:val="080808"/>
                <w:sz w:val="20"/>
                <w:szCs w:val="20"/>
                <w:lang w:val="es-CO"/>
              </w:rPr>
            </w:pPr>
            <w:r w:rsidRPr="000A6206">
              <w:rPr>
                <w:rFonts w:ascii="Cambria" w:eastAsia="Batang" w:hAnsi="Cambria"/>
                <w:b/>
                <w:color w:val="080808"/>
                <w:sz w:val="20"/>
                <w:szCs w:val="20"/>
                <w:lang w:val="es-CO"/>
              </w:rPr>
              <w:t>Estado de Cumplimiento</w:t>
            </w:r>
          </w:p>
        </w:tc>
      </w:tr>
      <w:tr w:rsidR="00897783" w:rsidRPr="00B21FE2" w14:paraId="16FD6143"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6517C49" w14:textId="40E2B2D5" w:rsidR="00897783" w:rsidRPr="000A6206" w:rsidRDefault="00AB09A9" w:rsidP="00897783">
            <w:pPr>
              <w:spacing w:after="0" w:line="240" w:lineRule="auto"/>
              <w:jc w:val="both"/>
              <w:rPr>
                <w:rFonts w:ascii="Cambria" w:eastAsia="Batang" w:hAnsi="Cambria"/>
                <w:b/>
                <w:bCs/>
                <w:color w:val="080808"/>
                <w:sz w:val="20"/>
                <w:szCs w:val="20"/>
                <w:lang w:val="es-CO"/>
              </w:rPr>
            </w:pPr>
            <w:r w:rsidRPr="000A6206">
              <w:rPr>
                <w:rFonts w:ascii="Cambria" w:eastAsia="Times New Roman" w:hAnsi="Cambria"/>
                <w:b/>
                <w:bCs/>
                <w:color w:val="000000"/>
                <w:kern w:val="36"/>
                <w:sz w:val="20"/>
                <w:szCs w:val="20"/>
                <w:lang w:val="es-CO"/>
              </w:rPr>
              <w:t xml:space="preserve">SEGUNDO: RECONOCIMIENTO DE RESPONSABILIDAD. </w:t>
            </w:r>
            <w:r w:rsidRPr="000A6206">
              <w:rPr>
                <w:rFonts w:ascii="Cambria" w:eastAsia="Times New Roman" w:hAnsi="Cambria"/>
                <w:color w:val="000000"/>
                <w:kern w:val="36"/>
                <w:sz w:val="20"/>
                <w:szCs w:val="20"/>
                <w:lang w:val="es-CO"/>
              </w:rPr>
              <w:t>El Estado uruguayo reconoce una vez más la condición de Víctima del Terrorismo de Estado de la Sra. Silvia Flores Mosquera a la vez de viuda del  Sr. Carlos Robles Iturbides, víctima del terrorismo de Estado en Uruguay de conformidad a los términos de la Ley 18.596 de fecha 18 de setiembre de 2009, admitiéndose la responsabilidad internacional por la violación de los derechos reconocidos en los artículos, 5 (integridad personal) y 7 (libertad personal), por la grave situación de ciertos hechos acontecidos en un periodo histórico particular comprendido entre el 9 de febrero de 1973 y el 28 de febrero de 1985, en el cual no ha existido un pleno goce de las garantías de derechos individuales. Este reconocimiento de responsabilidad internacional se circunscribe a los derechos señalados en relación a la Sra. Silvia Angélica Flores Mosquera.  Sin perjuicio de lo expuesto, debe señalarse que conforme a la normativa nacional este reconocimiento ya fue otorgado por el Estado uruguayo y es el que ha dado derecho a la Sra. Flores Mosquera a la percepción de la Pensión Especial Reparatoria (PER), la cual implica el reconocimiento del Estado de la privación de la libertad que sufrieron las personas detenidas y procesadas o que se vieron obligadas a abandonar el país o que permanecieron clandestinas por más de 180 días por motivos políticos entre el 9 de febrero de 1973 y el 28 de febrero de 1985.</w:t>
            </w:r>
          </w:p>
        </w:tc>
        <w:tc>
          <w:tcPr>
            <w:tcW w:w="1701" w:type="dxa"/>
            <w:tcBorders>
              <w:top w:val="single" w:sz="4" w:space="0" w:color="auto"/>
              <w:left w:val="single" w:sz="4" w:space="0" w:color="auto"/>
              <w:bottom w:val="single" w:sz="4" w:space="0" w:color="auto"/>
              <w:right w:val="single" w:sz="4" w:space="0" w:color="auto"/>
            </w:tcBorders>
            <w:vAlign w:val="center"/>
          </w:tcPr>
          <w:p w14:paraId="7F19AC8C" w14:textId="4BC8CC6C" w:rsidR="00897783" w:rsidRPr="000A6206" w:rsidRDefault="00897783" w:rsidP="00897783">
            <w:pPr>
              <w:spacing w:after="0" w:line="240" w:lineRule="auto"/>
              <w:jc w:val="center"/>
              <w:rPr>
                <w:rFonts w:ascii="Cambria" w:eastAsia="Batang" w:hAnsi="Cambria"/>
                <w:b/>
                <w:color w:val="080808"/>
                <w:sz w:val="20"/>
                <w:szCs w:val="20"/>
                <w:lang w:val="es-CO"/>
              </w:rPr>
            </w:pPr>
            <w:r w:rsidRPr="000A6206">
              <w:rPr>
                <w:rFonts w:ascii="Cambria" w:hAnsi="Cambria"/>
                <w:b/>
                <w:color w:val="000000"/>
                <w:sz w:val="20"/>
                <w:szCs w:val="20"/>
                <w:lang w:val="es-CO"/>
              </w:rPr>
              <w:t>Cláusula declarativa</w:t>
            </w:r>
          </w:p>
        </w:tc>
      </w:tr>
      <w:tr w:rsidR="00AB09A9" w:rsidRPr="00B21FE2" w14:paraId="4A90B23E" w14:textId="77777777" w:rsidTr="006B55EC">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01704195" w14:textId="16AE3FD6" w:rsidR="00AB09A9" w:rsidRPr="000A6206" w:rsidRDefault="00AB09A9" w:rsidP="00AB09A9">
            <w:pPr>
              <w:spacing w:after="0" w:line="240" w:lineRule="auto"/>
              <w:rPr>
                <w:rFonts w:ascii="Cambria" w:eastAsia="Batang" w:hAnsi="Cambria"/>
                <w:b/>
                <w:color w:val="080808"/>
                <w:sz w:val="20"/>
                <w:szCs w:val="20"/>
                <w:lang w:val="es-CO"/>
              </w:rPr>
            </w:pPr>
            <w:r w:rsidRPr="000A6206">
              <w:rPr>
                <w:rFonts w:ascii="Cambria" w:eastAsia="Batang" w:hAnsi="Cambria"/>
                <w:b/>
                <w:bCs/>
                <w:color w:val="080808"/>
                <w:sz w:val="20"/>
                <w:szCs w:val="20"/>
                <w:lang w:val="es-ES_tradnl"/>
              </w:rPr>
              <w:t>TERCERO: MEDIDAS DE SATISFACCIÓN</w:t>
            </w:r>
          </w:p>
        </w:tc>
      </w:tr>
      <w:tr w:rsidR="00897783" w:rsidRPr="00B21FE2"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3D81FDF4" w14:textId="66782B10" w:rsidR="00897783" w:rsidRPr="000A6206" w:rsidRDefault="00AB09A9" w:rsidP="00897783">
            <w:pPr>
              <w:spacing w:after="0" w:line="240" w:lineRule="auto"/>
              <w:jc w:val="both"/>
              <w:rPr>
                <w:rFonts w:ascii="Cambria" w:eastAsia="Times New Roman" w:hAnsi="Cambria"/>
                <w:color w:val="080808"/>
                <w:sz w:val="20"/>
                <w:szCs w:val="20"/>
                <w:lang w:val="es-CO"/>
              </w:rPr>
            </w:pPr>
            <w:r w:rsidRPr="000A6206">
              <w:rPr>
                <w:rFonts w:ascii="Cambria" w:eastAsia="Batang" w:hAnsi="Cambria"/>
                <w:b/>
                <w:bCs/>
                <w:color w:val="080808"/>
                <w:sz w:val="20"/>
                <w:szCs w:val="20"/>
                <w:lang w:val="es-ES_tradnl"/>
              </w:rPr>
              <w:t xml:space="preserve">1. Actos de Reconocimiento de Responsabilidad: </w:t>
            </w:r>
            <w:r w:rsidRPr="000A6206">
              <w:rPr>
                <w:rFonts w:ascii="Cambria" w:eastAsia="Batang" w:hAnsi="Cambria"/>
                <w:color w:val="080808"/>
                <w:sz w:val="20"/>
                <w:szCs w:val="20"/>
                <w:lang w:val="es-ES_tradnl"/>
              </w:rPr>
              <w:t xml:space="preserve">El Estado uruguayo realizará un Acto Privado de Firma y de Reconocimiento de Responsabilidad, el cual se llevará a cabo de forma presencial con la participación virtual y seguimiento de la CIDH. El acto se realizará de conformidad con el reconocimiento de responsabilidad señalado en este Acuerdo. </w:t>
            </w:r>
            <w:r w:rsidRPr="000A6206">
              <w:rPr>
                <w:rFonts w:ascii="Cambria" w:eastAsia="Batang" w:hAnsi="Cambria"/>
                <w:color w:val="080808"/>
                <w:sz w:val="20"/>
                <w:szCs w:val="20"/>
                <w:lang w:val="es-CO"/>
              </w:rPr>
              <w:t>La presente medida estará a cargo del Ministerio de Relaciones Exteriores.</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19BC9C54" w:rsidR="00897783" w:rsidRPr="000A6206" w:rsidRDefault="00AB09A9" w:rsidP="00897783">
            <w:pPr>
              <w:spacing w:after="0" w:line="240" w:lineRule="auto"/>
              <w:jc w:val="center"/>
              <w:rPr>
                <w:rFonts w:ascii="Cambria" w:eastAsia="Batang" w:hAnsi="Cambria"/>
                <w:b/>
                <w:color w:val="080808"/>
                <w:sz w:val="20"/>
                <w:szCs w:val="20"/>
                <w:lang w:val="es-CO"/>
              </w:rPr>
            </w:pPr>
            <w:r w:rsidRPr="000A6206">
              <w:rPr>
                <w:rFonts w:ascii="Cambria" w:eastAsia="Batang" w:hAnsi="Cambria"/>
                <w:b/>
                <w:bCs/>
                <w:color w:val="080808"/>
                <w:sz w:val="20"/>
                <w:szCs w:val="20"/>
                <w:lang w:val="es-CO"/>
              </w:rPr>
              <w:t>Total</w:t>
            </w:r>
            <w:r w:rsidRPr="000A6206">
              <w:rPr>
                <w:rFonts w:ascii="Cambria" w:eastAsia="Batang" w:hAnsi="Cambria"/>
                <w:b/>
                <w:bCs/>
                <w:color w:val="080808"/>
                <w:sz w:val="20"/>
                <w:szCs w:val="20"/>
                <w:vertAlign w:val="superscript"/>
                <w:lang w:val="es-CO"/>
              </w:rPr>
              <w:footnoteReference w:id="1"/>
            </w:r>
          </w:p>
        </w:tc>
      </w:tr>
      <w:tr w:rsidR="00897783" w:rsidRPr="00B21FE2"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5160AF5D" w14:textId="22AB7765" w:rsidR="00897783" w:rsidRPr="000A6206" w:rsidRDefault="00391158" w:rsidP="00E66C1B">
            <w:pPr>
              <w:spacing w:after="0" w:line="240" w:lineRule="auto"/>
              <w:ind w:firstLine="28"/>
              <w:jc w:val="both"/>
              <w:rPr>
                <w:rFonts w:ascii="Cambria" w:hAnsi="Cambria"/>
                <w:color w:val="080808"/>
                <w:sz w:val="20"/>
                <w:szCs w:val="20"/>
                <w:lang w:val="es-CO"/>
              </w:rPr>
            </w:pPr>
            <w:r w:rsidRPr="000A6206">
              <w:rPr>
                <w:rFonts w:ascii="Cambria" w:eastAsia="Batang" w:hAnsi="Cambria"/>
                <w:b/>
                <w:bCs/>
                <w:color w:val="080808"/>
                <w:sz w:val="20"/>
                <w:szCs w:val="20"/>
                <w:lang w:val="es-ES_tradnl"/>
              </w:rPr>
              <w:t xml:space="preserve">2. Acuerdo Económico. </w:t>
            </w:r>
            <w:r w:rsidRPr="000A6206">
              <w:rPr>
                <w:rFonts w:ascii="Cambria" w:eastAsia="Batang" w:hAnsi="Cambria"/>
                <w:color w:val="080808"/>
                <w:sz w:val="20"/>
                <w:szCs w:val="20"/>
                <w:lang w:val="es-ES_tradnl"/>
              </w:rPr>
              <w:t>El Estado se compromete a abonarle a la Sra. Silvia Angélica Flores Mosquera: i) La suma total y liquida de […]. Dicha suma será abonada a través de la transferencia bancaria en la caja de ahorro en pesos uruguayos en la cuenta N° […] Dependencia N° 036 del Banco República a nombre de la Sra. Silvia Flores Mosquera.</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10A89304" w:rsidR="00897783" w:rsidRPr="000A6206" w:rsidRDefault="00391158" w:rsidP="00897783">
            <w:pPr>
              <w:spacing w:after="0" w:line="240" w:lineRule="auto"/>
              <w:jc w:val="center"/>
              <w:rPr>
                <w:rFonts w:ascii="Cambria" w:eastAsia="Batang" w:hAnsi="Cambria"/>
                <w:b/>
                <w:color w:val="080808"/>
                <w:sz w:val="20"/>
                <w:szCs w:val="20"/>
                <w:lang w:val="es-CO"/>
              </w:rPr>
            </w:pPr>
            <w:r w:rsidRPr="000A6206">
              <w:rPr>
                <w:rFonts w:ascii="Cambria" w:eastAsia="Batang" w:hAnsi="Cambria"/>
                <w:b/>
                <w:bCs/>
                <w:color w:val="000000"/>
                <w:sz w:val="20"/>
                <w:szCs w:val="20"/>
                <w:lang w:eastAsia="es-ES_tradnl"/>
              </w:rPr>
              <w:t>Total</w:t>
            </w:r>
            <w:r w:rsidRPr="000A6206">
              <w:rPr>
                <w:rFonts w:ascii="Cambria" w:eastAsia="Batang" w:hAnsi="Cambria"/>
                <w:b/>
                <w:bCs/>
                <w:color w:val="000000"/>
                <w:sz w:val="20"/>
                <w:szCs w:val="20"/>
                <w:vertAlign w:val="superscript"/>
                <w:lang w:val="es-CO" w:eastAsia="es-ES_tradnl"/>
              </w:rPr>
              <w:footnoteReference w:id="2"/>
            </w:r>
          </w:p>
        </w:tc>
      </w:tr>
      <w:tr w:rsidR="00897783" w:rsidRPr="00B21FE2"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2A1CB548" w14:textId="21D8AD5E" w:rsidR="00897783" w:rsidRPr="000A6206" w:rsidRDefault="00391158" w:rsidP="00897783">
            <w:pPr>
              <w:spacing w:after="0" w:line="240" w:lineRule="auto"/>
              <w:jc w:val="both"/>
              <w:rPr>
                <w:rFonts w:ascii="Cambria" w:hAnsi="Cambria"/>
                <w:color w:val="080808"/>
                <w:sz w:val="20"/>
                <w:szCs w:val="20"/>
                <w:lang w:val="es-CO"/>
              </w:rPr>
            </w:pPr>
            <w:r w:rsidRPr="000A6206">
              <w:rPr>
                <w:rFonts w:ascii="Cambria" w:hAnsi="Cambria"/>
                <w:bCs/>
                <w:color w:val="080808"/>
                <w:sz w:val="20"/>
                <w:szCs w:val="20"/>
                <w:lang w:val="es-ES_tradnl"/>
              </w:rPr>
              <w:t>ii) Asimismo se acuerda entregar una renta mensual de […].  En todos los casos será suficiente para acreditar el pago la constancia de transferencias que expida el banco remitente.  Estos pagos están vinculados a la persona Sra. Silvia Angélica Flores Mosquera, por lo que cesarán automáticamente a la fecha en que esta fallezca.  Los sucesores de la Sra. Silvia Angélica Flores Mosquera en ese momento deberán informar a los Servicios encargados de dichos pagos a más tardar durante el mes siguiente a la ocurrencia de dicho evento.   Todo pago indebidamente percibido más allá de dicha fecha será objeto de la acción restitutoria.</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3A2904F6" w:rsidR="00897783" w:rsidRPr="000A6206" w:rsidRDefault="00E66C1B" w:rsidP="00897783">
            <w:pPr>
              <w:spacing w:after="0" w:line="240" w:lineRule="auto"/>
              <w:jc w:val="center"/>
              <w:rPr>
                <w:rFonts w:ascii="Cambria" w:eastAsia="Batang" w:hAnsi="Cambria"/>
                <w:b/>
                <w:color w:val="080808"/>
                <w:sz w:val="20"/>
                <w:szCs w:val="20"/>
                <w:lang w:val="es-CO"/>
              </w:rPr>
            </w:pPr>
            <w:r w:rsidRPr="000A6206">
              <w:rPr>
                <w:rFonts w:ascii="Cambria" w:eastAsia="Batang" w:hAnsi="Cambria"/>
                <w:b/>
                <w:color w:val="080808"/>
                <w:sz w:val="20"/>
                <w:szCs w:val="20"/>
                <w:lang w:val="es-CO"/>
              </w:rPr>
              <w:t>Total</w:t>
            </w:r>
            <w:r w:rsidRPr="000A6206">
              <w:rPr>
                <w:rFonts w:ascii="Cambria" w:eastAsia="Batang" w:hAnsi="Cambria"/>
                <w:b/>
                <w:color w:val="080808"/>
                <w:sz w:val="20"/>
                <w:szCs w:val="20"/>
                <w:vertAlign w:val="superscript"/>
                <w:lang w:val="es-CO"/>
              </w:rPr>
              <w:footnoteReference w:id="3"/>
            </w:r>
          </w:p>
        </w:tc>
      </w:tr>
      <w:tr w:rsidR="00E66C1B" w:rsidRPr="00B21FE2" w14:paraId="4C6B616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2E333C47" w14:textId="53575594" w:rsidR="00E66C1B" w:rsidRPr="000A6206" w:rsidRDefault="00391158" w:rsidP="00E66C1B">
            <w:pPr>
              <w:spacing w:after="0" w:line="240" w:lineRule="auto"/>
              <w:jc w:val="both"/>
              <w:rPr>
                <w:rFonts w:ascii="Cambria" w:hAnsi="Cambria"/>
                <w:bCs/>
                <w:color w:val="080808"/>
                <w:sz w:val="20"/>
                <w:szCs w:val="20"/>
                <w:lang w:val="es-CO"/>
              </w:rPr>
            </w:pPr>
            <w:r w:rsidRPr="000A6206">
              <w:rPr>
                <w:rFonts w:ascii="Cambria" w:hAnsi="Cambria"/>
                <w:b/>
                <w:bCs/>
                <w:color w:val="080808"/>
                <w:sz w:val="20"/>
                <w:szCs w:val="20"/>
                <w:lang w:val="es-ES_tradnl"/>
              </w:rPr>
              <w:t xml:space="preserve">CUARTO. MEDIDAS DE COMPENSACIÓN: </w:t>
            </w:r>
            <w:r w:rsidRPr="000A6206">
              <w:rPr>
                <w:rFonts w:ascii="Cambria" w:hAnsi="Cambria"/>
                <w:color w:val="080808"/>
                <w:sz w:val="20"/>
                <w:szCs w:val="20"/>
                <w:lang w:val="es-ES_tradnl"/>
              </w:rPr>
              <w:t>El Estado se compromete a dar inició al trámite administrativo para efectivizar la compensación económica acordada en un plazo máximo de dos meses contado a partir de la fecha en que se homologue el acuerdo de solución amistosa mediante la expedición del informe del artículo 49 de la Convención Americana sobre Derechos Humanos.</w:t>
            </w:r>
          </w:p>
        </w:tc>
        <w:tc>
          <w:tcPr>
            <w:tcW w:w="1701" w:type="dxa"/>
            <w:tcBorders>
              <w:top w:val="single" w:sz="4" w:space="0" w:color="auto"/>
              <w:left w:val="single" w:sz="4" w:space="0" w:color="auto"/>
              <w:bottom w:val="single" w:sz="4" w:space="0" w:color="auto"/>
              <w:right w:val="single" w:sz="4" w:space="0" w:color="auto"/>
            </w:tcBorders>
            <w:vAlign w:val="center"/>
          </w:tcPr>
          <w:p w14:paraId="7E9C4761" w14:textId="7E2BF91E" w:rsidR="00E66C1B" w:rsidRPr="000A6206" w:rsidRDefault="00391158" w:rsidP="00897783">
            <w:pPr>
              <w:spacing w:after="0" w:line="240" w:lineRule="auto"/>
              <w:jc w:val="center"/>
              <w:rPr>
                <w:rFonts w:ascii="Cambria" w:eastAsia="Batang" w:hAnsi="Cambria"/>
                <w:b/>
                <w:color w:val="080808"/>
                <w:sz w:val="20"/>
                <w:szCs w:val="20"/>
                <w:lang w:val="es-CO"/>
              </w:rPr>
            </w:pPr>
            <w:r w:rsidRPr="000A6206">
              <w:rPr>
                <w:rFonts w:ascii="Cambria" w:eastAsia="Batang" w:hAnsi="Cambria"/>
                <w:b/>
                <w:bCs/>
                <w:color w:val="080808"/>
                <w:sz w:val="20"/>
                <w:szCs w:val="20"/>
              </w:rPr>
              <w:t>Total</w:t>
            </w:r>
            <w:r w:rsidRPr="000A6206">
              <w:rPr>
                <w:rFonts w:ascii="Cambria" w:eastAsia="Batang" w:hAnsi="Cambria"/>
                <w:b/>
                <w:color w:val="080808"/>
                <w:sz w:val="20"/>
                <w:szCs w:val="20"/>
                <w:vertAlign w:val="superscript"/>
                <w:lang w:val="es-ES"/>
              </w:rPr>
              <w:footnoteReference w:id="4"/>
            </w:r>
          </w:p>
        </w:tc>
      </w:tr>
      <w:tr w:rsidR="00E66C1B" w:rsidRPr="00DF5550" w14:paraId="54877AA4"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46D53129" w14:textId="011AEC22" w:rsidR="00E66C1B" w:rsidRPr="000A6206" w:rsidRDefault="00391158" w:rsidP="00E66C1B">
            <w:pPr>
              <w:spacing w:after="0" w:line="240" w:lineRule="auto"/>
              <w:jc w:val="both"/>
              <w:rPr>
                <w:rFonts w:ascii="Cambria" w:hAnsi="Cambria"/>
                <w:color w:val="080808"/>
                <w:sz w:val="20"/>
                <w:szCs w:val="20"/>
                <w:lang w:val="es-CO"/>
              </w:rPr>
            </w:pPr>
            <w:r w:rsidRPr="000A6206">
              <w:rPr>
                <w:rFonts w:ascii="Cambria" w:hAnsi="Cambria"/>
                <w:b/>
                <w:bCs/>
                <w:color w:val="080808"/>
                <w:sz w:val="20"/>
                <w:szCs w:val="20"/>
                <w:lang w:val="es-ES_tradnl"/>
              </w:rPr>
              <w:lastRenderedPageBreak/>
              <w:t xml:space="preserve">DECIMO PRIMERO. CONFORMIDAD Y HOMOLOGACIÓN ANTE LA CIDH. </w:t>
            </w:r>
            <w:r w:rsidRPr="000A6206">
              <w:rPr>
                <w:rFonts w:ascii="Cambria" w:hAnsi="Cambria"/>
                <w:color w:val="080808"/>
                <w:sz w:val="20"/>
                <w:szCs w:val="20"/>
                <w:lang w:val="es-ES_tradnl"/>
              </w:rPr>
              <w:t>Las partes solicitan a la CIDH la homologación del presente acuerdo de solución amistosa de conformidad al artículo 49 de la Convención Americana sobre Derechos Humanos y artículo 41 del Reglamento de la Comisión Interamericana de Derechos Humanos, una vez que se cumpla con el acto de reconocimiento de responsabilidad dispuesto en la cláusula tercera.</w:t>
            </w:r>
          </w:p>
        </w:tc>
        <w:tc>
          <w:tcPr>
            <w:tcW w:w="1701" w:type="dxa"/>
            <w:tcBorders>
              <w:top w:val="single" w:sz="4" w:space="0" w:color="auto"/>
              <w:left w:val="single" w:sz="4" w:space="0" w:color="auto"/>
              <w:bottom w:val="single" w:sz="4" w:space="0" w:color="auto"/>
              <w:right w:val="single" w:sz="4" w:space="0" w:color="auto"/>
            </w:tcBorders>
            <w:vAlign w:val="center"/>
          </w:tcPr>
          <w:p w14:paraId="7BCBCD14" w14:textId="1030F4CA" w:rsidR="00E66C1B" w:rsidRPr="000A6206" w:rsidRDefault="00391158" w:rsidP="00897783">
            <w:pPr>
              <w:spacing w:after="0" w:line="240" w:lineRule="auto"/>
              <w:jc w:val="center"/>
              <w:rPr>
                <w:rFonts w:ascii="Cambria" w:eastAsia="Batang" w:hAnsi="Cambria"/>
                <w:b/>
                <w:color w:val="080808"/>
                <w:sz w:val="20"/>
                <w:szCs w:val="20"/>
                <w:lang w:val="es-CO"/>
              </w:rPr>
            </w:pPr>
            <w:r w:rsidRPr="000A6206">
              <w:rPr>
                <w:rFonts w:ascii="Cambria" w:hAnsi="Cambria"/>
                <w:b/>
                <w:color w:val="000000"/>
                <w:sz w:val="20"/>
                <w:szCs w:val="20"/>
                <w:lang w:val="es-CO"/>
              </w:rPr>
              <w:t>Cláusula declarativa</w:t>
            </w:r>
          </w:p>
        </w:tc>
      </w:tr>
    </w:tbl>
    <w:p w14:paraId="4E918129" w14:textId="77777777" w:rsidR="000F6AC8" w:rsidRDefault="000F6AC8" w:rsidP="000F6AC8">
      <w:pPr>
        <w:autoSpaceDE w:val="0"/>
        <w:autoSpaceDN w:val="0"/>
        <w:adjustRightInd w:val="0"/>
        <w:spacing w:after="0" w:line="240" w:lineRule="auto"/>
        <w:ind w:left="720"/>
        <w:jc w:val="both"/>
        <w:rPr>
          <w:rFonts w:ascii="Cambria" w:eastAsia="Batang" w:hAnsi="Cambria" w:cs="Calibri Light"/>
          <w:b/>
          <w:color w:val="080808"/>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24ADDF61" w:rsidR="003B3362" w:rsidRPr="000A6206" w:rsidRDefault="003B3362" w:rsidP="000A6206">
      <w:pPr>
        <w:pStyle w:val="ListParagraph"/>
        <w:numPr>
          <w:ilvl w:val="0"/>
          <w:numId w:val="45"/>
        </w:numPr>
        <w:spacing w:after="0" w:line="240" w:lineRule="auto"/>
        <w:ind w:left="0" w:firstLine="720"/>
        <w:jc w:val="both"/>
        <w:rPr>
          <w:rFonts w:ascii="Cambria" w:hAnsi="Cambria"/>
          <w:color w:val="080808"/>
          <w:sz w:val="20"/>
          <w:szCs w:val="20"/>
          <w:lang w:val="es-CO"/>
        </w:rPr>
      </w:pPr>
      <w:r w:rsidRPr="000A6206">
        <w:rPr>
          <w:rFonts w:ascii="Cambria" w:hAnsi="Cambria"/>
          <w:color w:val="080808"/>
          <w:sz w:val="20"/>
          <w:szCs w:val="20"/>
          <w:lang w:val="es-CO"/>
        </w:rPr>
        <w:t>La Comisión declaró el cumplimiento total del asunto y el cese del seguimiento del acuerdo de solución amistosa en el Informe Anual de 202</w:t>
      </w:r>
      <w:r w:rsidR="000F6AC8" w:rsidRPr="000A6206">
        <w:rPr>
          <w:rFonts w:ascii="Cambria" w:hAnsi="Cambria"/>
          <w:color w:val="080808"/>
          <w:sz w:val="20"/>
          <w:szCs w:val="20"/>
          <w:lang w:val="es-CO"/>
        </w:rPr>
        <w:t>3</w:t>
      </w:r>
      <w:r w:rsidRPr="000A6206">
        <w:rPr>
          <w:rFonts w:ascii="Cambria" w:hAnsi="Cambria"/>
          <w:color w:val="080808"/>
          <w:sz w:val="20"/>
          <w:szCs w:val="20"/>
          <w:lang w:val="es-CO"/>
        </w:rPr>
        <w:t>.</w:t>
      </w:r>
    </w:p>
    <w:p w14:paraId="6385AFDB" w14:textId="77777777" w:rsidR="003B3362" w:rsidRPr="0009182C" w:rsidRDefault="003B3362" w:rsidP="003B3362">
      <w:pPr>
        <w:spacing w:after="0" w:line="240" w:lineRule="auto"/>
        <w:ind w:firstLine="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0A6206" w:rsidRDefault="003B3362" w:rsidP="005A1DFD">
      <w:pPr>
        <w:numPr>
          <w:ilvl w:val="1"/>
          <w:numId w:val="37"/>
        </w:numPr>
        <w:spacing w:after="0" w:line="240" w:lineRule="auto"/>
        <w:ind w:left="1560" w:hanging="840"/>
        <w:contextualSpacing/>
        <w:jc w:val="both"/>
        <w:rPr>
          <w:rFonts w:ascii="Cambria" w:eastAsia="Batang" w:hAnsi="Cambria" w:cs="Calibri Light"/>
          <w:b/>
          <w:color w:val="080808"/>
          <w:sz w:val="20"/>
          <w:szCs w:val="20"/>
          <w:lang w:val="es-CO"/>
        </w:rPr>
      </w:pPr>
      <w:r w:rsidRPr="000A6206">
        <w:rPr>
          <w:rFonts w:ascii="Cambria" w:eastAsia="Batang" w:hAnsi="Cambria" w:cs="Calibri Light"/>
          <w:b/>
          <w:color w:val="080808"/>
          <w:sz w:val="20"/>
          <w:szCs w:val="20"/>
          <w:lang w:val="es-CO"/>
        </w:rPr>
        <w:t>Resultados individuales del caso</w:t>
      </w:r>
    </w:p>
    <w:p w14:paraId="3A7E3E60" w14:textId="77777777" w:rsidR="003B3362" w:rsidRPr="000A6206" w:rsidRDefault="003B3362" w:rsidP="005A1DFD">
      <w:pPr>
        <w:spacing w:after="0" w:line="240" w:lineRule="auto"/>
        <w:ind w:left="1560" w:hanging="840"/>
        <w:contextualSpacing/>
        <w:jc w:val="both"/>
        <w:rPr>
          <w:rFonts w:ascii="Cambria" w:eastAsia="Batang" w:hAnsi="Cambria" w:cs="Calibri Light"/>
          <w:b/>
          <w:color w:val="080808"/>
          <w:sz w:val="20"/>
          <w:szCs w:val="20"/>
          <w:lang w:val="es-CO"/>
        </w:rPr>
      </w:pPr>
    </w:p>
    <w:p w14:paraId="6A6CEF9A" w14:textId="77777777" w:rsidR="007221CB" w:rsidRPr="000A6206" w:rsidRDefault="007221CB" w:rsidP="007221CB">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ES"/>
        </w:rPr>
      </w:pPr>
      <w:r w:rsidRPr="000A6206">
        <w:rPr>
          <w:rFonts w:ascii="Cambria" w:eastAsia="Batang" w:hAnsi="Cambria" w:cs="Calibri Light"/>
          <w:color w:val="080808"/>
          <w:sz w:val="20"/>
          <w:szCs w:val="20"/>
          <w:lang w:val="es-CO"/>
        </w:rPr>
        <w:t>El Estado uruguayo reconoció la condición de Víctima del Terrorismo de Estado de la Sra. Silvia Flores Mosquera a la vez de viuda del  Sr. Carlos Robles Iturbides, víctima del terrorismo de Estado en Uruguay de conformidad a los términos de la Ley 18.596 de fecha 18 de setiembre de 2009, admitiéndose la responsabilidad internacional por la violación de los derechos reconocidos en los artículos, 5 (integridad personal) y 7 (libertad personal), por la grave situación de ciertos hechos acontecidos en un periodo histórico particular comprendido entre el 9 de febrero de 1973 y el 28 de febrero de 1985, en el cual no ha existido un pleno goce de las garantías de derechos individuales, de conformidad con los términos establecidos en la cláusula segunda del acuerdo de solución amistosa.</w:t>
      </w:r>
    </w:p>
    <w:p w14:paraId="7030CC9F" w14:textId="77777777" w:rsidR="007221CB" w:rsidRPr="000A6206" w:rsidRDefault="007221CB" w:rsidP="007221CB">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ES"/>
        </w:rPr>
      </w:pPr>
      <w:r w:rsidRPr="000A6206">
        <w:rPr>
          <w:rFonts w:ascii="Cambria" w:eastAsia="Batang" w:hAnsi="Cambria" w:cs="Calibri Light"/>
          <w:color w:val="080808"/>
          <w:sz w:val="20"/>
          <w:szCs w:val="20"/>
          <w:lang w:val="es-CO"/>
        </w:rPr>
        <w:t xml:space="preserve">El Estado realizó un </w:t>
      </w:r>
      <w:r w:rsidRPr="000A6206">
        <w:rPr>
          <w:rFonts w:ascii="Cambria" w:eastAsia="Batang" w:hAnsi="Cambria" w:cs="Calibri Light"/>
          <w:color w:val="080808"/>
          <w:sz w:val="20"/>
          <w:szCs w:val="20"/>
          <w:lang w:val="es-ES_tradnl"/>
        </w:rPr>
        <w:t>acto de firma del acuerdo de solución amistosa y de reconocimiento de responsabilidad y solicitud de perdón en las instalaciones del Ministerio de Relaciones Exteriores y con la conexión virtual con la Comisión Interamericana el 10 de agosto de 2022, en la ciudad de Montevideo.</w:t>
      </w:r>
    </w:p>
    <w:p w14:paraId="1B26DC43" w14:textId="77777777" w:rsidR="007221CB" w:rsidRPr="000A6206" w:rsidRDefault="007221CB" w:rsidP="007221CB">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ES"/>
        </w:rPr>
      </w:pPr>
      <w:r w:rsidRPr="000A6206">
        <w:rPr>
          <w:rFonts w:ascii="Cambria" w:eastAsia="Batang" w:hAnsi="Cambria" w:cs="Calibri Light"/>
          <w:color w:val="080808"/>
          <w:sz w:val="20"/>
          <w:szCs w:val="20"/>
          <w:lang w:val="es-ES_tradnl"/>
        </w:rPr>
        <w:t xml:space="preserve">El Estado otorgó una compensación económica a la señora Silvia Flores Mosquera en los términos acordados. </w:t>
      </w:r>
    </w:p>
    <w:p w14:paraId="5E2CE4CA" w14:textId="6F42F4C5" w:rsidR="003B3362" w:rsidRPr="000A6206" w:rsidRDefault="007221CB" w:rsidP="007221CB">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ES"/>
        </w:rPr>
      </w:pPr>
      <w:r w:rsidRPr="000A6206">
        <w:rPr>
          <w:rFonts w:ascii="Cambria" w:eastAsia="Batang" w:hAnsi="Cambria" w:cs="Calibri Light"/>
          <w:color w:val="080808"/>
          <w:sz w:val="20"/>
          <w:szCs w:val="20"/>
          <w:lang w:val="es-ES_tradnl"/>
        </w:rPr>
        <w:t>El Estado realizó acciones para el otorgamiento de una renta mensual a la señora Silvia Flores Mosquera en los términos acordados, asegurando su ejecución hacia el futuro y hasta su fallecimiento.</w:t>
      </w:r>
    </w:p>
    <w:sectPr w:rsidR="003B3362" w:rsidRPr="000A6206" w:rsidSect="00A07224">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1DF3" w14:textId="77777777" w:rsidR="0075692A" w:rsidRDefault="0075692A" w:rsidP="00A343FF">
      <w:pPr>
        <w:spacing w:after="0" w:line="240" w:lineRule="auto"/>
      </w:pPr>
      <w:r>
        <w:separator/>
      </w:r>
    </w:p>
  </w:endnote>
  <w:endnote w:type="continuationSeparator" w:id="0">
    <w:p w14:paraId="249626DB" w14:textId="77777777" w:rsidR="0075692A" w:rsidRDefault="0075692A"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1F1F2D"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rPr>
        <w:noProof/>
      </w:rPr>
      <w:pict w14:anchorId="760A5482">
        <v:rect id="_x0000_i1027" alt="" style="width:441.9pt;height:.05pt;mso-width-percent:0;mso-height-percent:0;mso-width-percent:0;mso-height-percent:0"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451304620"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40EB" w14:textId="77777777" w:rsidR="0075692A" w:rsidRDefault="0075692A" w:rsidP="00A343FF">
      <w:pPr>
        <w:spacing w:after="0" w:line="240" w:lineRule="auto"/>
      </w:pPr>
      <w:r>
        <w:separator/>
      </w:r>
    </w:p>
  </w:footnote>
  <w:footnote w:type="continuationSeparator" w:id="0">
    <w:p w14:paraId="2E8F5745" w14:textId="77777777" w:rsidR="0075692A" w:rsidRDefault="0075692A" w:rsidP="00A343FF">
      <w:pPr>
        <w:spacing w:after="0" w:line="240" w:lineRule="auto"/>
      </w:pPr>
      <w:r>
        <w:continuationSeparator/>
      </w:r>
    </w:p>
  </w:footnote>
  <w:footnote w:id="1">
    <w:p w14:paraId="73C5FD42" w14:textId="77777777" w:rsidR="00AB09A9" w:rsidRPr="00B37104" w:rsidRDefault="00AB09A9" w:rsidP="00391158">
      <w:pPr>
        <w:pStyle w:val="FootnoteText"/>
        <w:spacing w:after="0" w:line="240" w:lineRule="auto"/>
        <w:ind w:firstLine="709"/>
        <w:jc w:val="both"/>
        <w:rPr>
          <w:color w:val="000000"/>
          <w:szCs w:val="16"/>
          <w:lang w:val="pt-BR" w:eastAsia="es-ES_tradnl"/>
        </w:rPr>
      </w:pPr>
      <w:r w:rsidRPr="000A6206">
        <w:rPr>
          <w:rStyle w:val="FootnoteReference"/>
          <w:rFonts w:ascii="Cambria" w:hAnsi="Cambria"/>
          <w:sz w:val="16"/>
          <w:szCs w:val="16"/>
        </w:rPr>
        <w:footnoteRef/>
      </w:r>
      <w:r w:rsidRPr="000A6206">
        <w:rPr>
          <w:rFonts w:ascii="Cambria" w:hAnsi="Cambria"/>
          <w:sz w:val="16"/>
          <w:szCs w:val="16"/>
          <w:lang w:val="es-US"/>
        </w:rPr>
        <w:t xml:space="preserve"> </w:t>
      </w:r>
      <w:r w:rsidRPr="000A6206">
        <w:rPr>
          <w:rFonts w:ascii="Cambria" w:hAnsi="Cambria"/>
          <w:color w:val="000000"/>
          <w:sz w:val="16"/>
          <w:szCs w:val="16"/>
          <w:lang w:val="es-MX" w:eastAsia="es-ES_tradnl"/>
        </w:rPr>
        <w:t xml:space="preserve">CIDH, Informe No. 183/22, Petición 1376 – 19. Solución Amistosa. </w:t>
      </w:r>
      <w:r w:rsidRPr="000A6206">
        <w:rPr>
          <w:rFonts w:ascii="Cambria" w:hAnsi="Cambria"/>
          <w:color w:val="000000"/>
          <w:sz w:val="16"/>
          <w:szCs w:val="16"/>
          <w:lang w:val="pt-BR" w:eastAsia="es-ES_tradnl"/>
        </w:rPr>
        <w:t>Silvia Angélica Flores Mosquera. Uruguay. 15 de agosto de 2022.</w:t>
      </w:r>
      <w:r w:rsidRPr="000A6206">
        <w:rPr>
          <w:rFonts w:ascii="Cambria" w:hAnsi="Cambria"/>
          <w:color w:val="565656"/>
          <w:sz w:val="16"/>
          <w:szCs w:val="16"/>
          <w:lang w:val="pt-BR" w:eastAsia="es-ES_tradnl"/>
        </w:rPr>
        <w:t xml:space="preserve"> </w:t>
      </w:r>
      <w:hyperlink r:id="rId1" w:history="1">
        <w:r w:rsidRPr="000A6206">
          <w:rPr>
            <w:rStyle w:val="Hyperlink"/>
            <w:rFonts w:ascii="Cambria" w:hAnsi="Cambria"/>
            <w:sz w:val="16"/>
            <w:szCs w:val="16"/>
            <w:lang w:val="pt-BR" w:eastAsia="es-ES_tradnl"/>
          </w:rPr>
          <w:t>https://www.oas.org/es/cidh/decisiones/2022/UR SA P-1376-19-ES-CM2-EM2-JM -PF-Final WEB.pdf</w:t>
        </w:r>
      </w:hyperlink>
      <w:r w:rsidRPr="00B37104">
        <w:rPr>
          <w:color w:val="565656"/>
          <w:szCs w:val="16"/>
          <w:lang w:val="pt-BR" w:eastAsia="es-ES_tradnl"/>
        </w:rPr>
        <w:t xml:space="preserve"> </w:t>
      </w:r>
    </w:p>
  </w:footnote>
  <w:footnote w:id="2">
    <w:p w14:paraId="2E1CAF96" w14:textId="77777777" w:rsidR="00391158" w:rsidRPr="00B37104" w:rsidRDefault="00391158" w:rsidP="00391158">
      <w:pPr>
        <w:pStyle w:val="FootnoteText"/>
        <w:spacing w:after="0" w:line="240" w:lineRule="auto"/>
        <w:ind w:firstLine="709"/>
        <w:jc w:val="both"/>
        <w:rPr>
          <w:rFonts w:ascii="Cambria" w:hAnsi="Cambria"/>
          <w:sz w:val="16"/>
          <w:szCs w:val="16"/>
          <w:lang w:val="es-ES"/>
        </w:rPr>
      </w:pPr>
      <w:r w:rsidRPr="000A6206">
        <w:rPr>
          <w:rStyle w:val="FootnoteReference"/>
          <w:rFonts w:ascii="Cambria" w:hAnsi="Cambria"/>
          <w:sz w:val="16"/>
          <w:szCs w:val="16"/>
        </w:rPr>
        <w:footnoteRef/>
      </w:r>
      <w:r w:rsidRPr="000A6206">
        <w:rPr>
          <w:rFonts w:ascii="Cambria" w:hAnsi="Cambria"/>
          <w:sz w:val="16"/>
          <w:szCs w:val="16"/>
          <w:lang w:val="es-AR"/>
        </w:rPr>
        <w:t xml:space="preserve"> Ver CIDH, </w:t>
      </w:r>
      <w:r w:rsidRPr="000A6206">
        <w:rPr>
          <w:rFonts w:ascii="Cambria" w:hAnsi="Cambria"/>
          <w:i/>
          <w:iCs/>
          <w:sz w:val="16"/>
          <w:szCs w:val="16"/>
          <w:lang w:val="es-AR"/>
        </w:rPr>
        <w:t>Informe Anual 2022</w:t>
      </w:r>
      <w:r w:rsidRPr="000A6206">
        <w:rPr>
          <w:rFonts w:ascii="Cambria" w:hAnsi="Cambria"/>
          <w:sz w:val="16"/>
          <w:szCs w:val="16"/>
          <w:lang w:val="es-AR"/>
        </w:rPr>
        <w:t xml:space="preserve">, Capítulo II, Sección C. Avances y retrocesos en materia de negociación e implementación de acuerdos de solución amistosa. Disponible en: </w:t>
      </w:r>
      <w:hyperlink r:id="rId2" w:tgtFrame="_blank" w:tooltip="https://www.oas.org/es/cidh/docs/anual/2022/capitulos/4-ia2022_cap_2_es.pdf" w:history="1">
        <w:r w:rsidRPr="000A6206">
          <w:rPr>
            <w:rStyle w:val="Hyperlink"/>
            <w:rFonts w:ascii="Cambria" w:hAnsi="Cambria"/>
            <w:sz w:val="16"/>
            <w:szCs w:val="16"/>
            <w:lang w:val="es-AR"/>
          </w:rPr>
          <w:t>https://www.oas.org/es/cidh/docs/anual/2022/capitulos/4-IA2022_Cap_2_ES.pdf</w:t>
        </w:r>
      </w:hyperlink>
    </w:p>
  </w:footnote>
  <w:footnote w:id="3">
    <w:p w14:paraId="52B02FA0" w14:textId="48977584" w:rsidR="00E66C1B" w:rsidRPr="000A6206" w:rsidRDefault="00E66C1B" w:rsidP="00E66C1B">
      <w:pPr>
        <w:pStyle w:val="FootnoteText"/>
        <w:spacing w:after="0" w:line="240" w:lineRule="auto"/>
        <w:ind w:firstLine="709"/>
        <w:jc w:val="both"/>
        <w:rPr>
          <w:rFonts w:ascii="Cambria" w:hAnsi="Cambria"/>
          <w:sz w:val="16"/>
          <w:szCs w:val="16"/>
          <w:lang w:val="es-US"/>
        </w:rPr>
      </w:pPr>
      <w:r w:rsidRPr="000A6206">
        <w:rPr>
          <w:rStyle w:val="FootnoteReference"/>
          <w:rFonts w:ascii="Cambria" w:hAnsi="Cambria"/>
          <w:sz w:val="16"/>
          <w:szCs w:val="16"/>
        </w:rPr>
        <w:footnoteRef/>
      </w:r>
      <w:r w:rsidRPr="000A6206">
        <w:rPr>
          <w:rFonts w:ascii="Cambria" w:hAnsi="Cambria"/>
          <w:sz w:val="16"/>
          <w:szCs w:val="16"/>
          <w:lang w:val="es-US"/>
        </w:rPr>
        <w:t xml:space="preserve"> </w:t>
      </w:r>
      <w:r w:rsidR="00391158" w:rsidRPr="000A6206">
        <w:rPr>
          <w:rFonts w:ascii="Cambria" w:hAnsi="Cambria"/>
          <w:sz w:val="16"/>
          <w:szCs w:val="16"/>
          <w:lang w:val="es-ES"/>
        </w:rPr>
        <w:t xml:space="preserve">Ver CIDH, Informe Anual 2023, Capítulo II, Sección </w:t>
      </w:r>
      <w:r w:rsidR="00B21FE2" w:rsidRPr="000A6206">
        <w:rPr>
          <w:rFonts w:ascii="Cambria" w:hAnsi="Cambria"/>
          <w:sz w:val="16"/>
          <w:szCs w:val="16"/>
          <w:lang w:val="es-ES"/>
        </w:rPr>
        <w:t>C</w:t>
      </w:r>
      <w:r w:rsidR="00391158" w:rsidRPr="000A6206">
        <w:rPr>
          <w:rFonts w:ascii="Cambria" w:hAnsi="Cambria"/>
          <w:sz w:val="16"/>
          <w:szCs w:val="16"/>
          <w:lang w:val="es-ES"/>
        </w:rPr>
        <w:t xml:space="preserve">. Avances y retrocesos en materia de negociación e implementación de acuerdos de solución amistosa. </w:t>
      </w:r>
      <w:r w:rsidR="00391158" w:rsidRPr="000A6206">
        <w:rPr>
          <w:rFonts w:ascii="Cambria" w:hAnsi="Cambria"/>
          <w:sz w:val="16"/>
          <w:szCs w:val="16"/>
          <w:lang w:val="es-CO"/>
        </w:rPr>
        <w:t xml:space="preserve">Disponible en: </w:t>
      </w:r>
      <w:hyperlink r:id="rId3" w:history="1">
        <w:r w:rsidR="00B37104" w:rsidRPr="00B37104">
          <w:rPr>
            <w:rStyle w:val="Hyperlink"/>
            <w:rFonts w:ascii="Cambria" w:hAnsi="Cambria"/>
            <w:sz w:val="16"/>
            <w:szCs w:val="16"/>
            <w:lang w:val="es-ES"/>
          </w:rPr>
          <w:t>https://www.oas.org/es/cidh/docs/anual/2023/capitulos/IA2023_Cap_2_SPA.PDF</w:t>
        </w:r>
      </w:hyperlink>
    </w:p>
  </w:footnote>
  <w:footnote w:id="4">
    <w:p w14:paraId="7800E45D" w14:textId="77777777" w:rsidR="00391158" w:rsidRPr="00391158" w:rsidRDefault="00391158" w:rsidP="00391158">
      <w:pPr>
        <w:pStyle w:val="FootnoteText"/>
        <w:spacing w:after="0" w:line="240" w:lineRule="auto"/>
        <w:ind w:firstLine="709"/>
        <w:jc w:val="both"/>
        <w:rPr>
          <w:rFonts w:ascii="Cambria" w:hAnsi="Cambria"/>
          <w:sz w:val="16"/>
          <w:szCs w:val="16"/>
          <w:lang w:val="es-ES"/>
        </w:rPr>
      </w:pPr>
      <w:r w:rsidRPr="000A6206">
        <w:rPr>
          <w:rStyle w:val="FootnoteReference"/>
          <w:rFonts w:ascii="Cambria" w:hAnsi="Cambria"/>
          <w:sz w:val="16"/>
          <w:szCs w:val="16"/>
        </w:rPr>
        <w:footnoteRef/>
      </w:r>
      <w:r w:rsidRPr="000A6206">
        <w:rPr>
          <w:rFonts w:ascii="Cambria" w:hAnsi="Cambria"/>
          <w:sz w:val="16"/>
          <w:szCs w:val="16"/>
          <w:lang w:val="es-AR"/>
        </w:rPr>
        <w:t xml:space="preserve">Ver CIDH, </w:t>
      </w:r>
      <w:r w:rsidRPr="000A6206">
        <w:rPr>
          <w:rFonts w:ascii="Cambria" w:hAnsi="Cambria"/>
          <w:i/>
          <w:iCs/>
          <w:sz w:val="16"/>
          <w:szCs w:val="16"/>
          <w:lang w:val="es-AR"/>
        </w:rPr>
        <w:t>Informe Anual 2022</w:t>
      </w:r>
      <w:r w:rsidRPr="000A6206">
        <w:rPr>
          <w:rFonts w:ascii="Cambria" w:hAnsi="Cambria"/>
          <w:sz w:val="16"/>
          <w:szCs w:val="16"/>
          <w:lang w:val="es-AR"/>
        </w:rPr>
        <w:t xml:space="preserve">, Capítulo II, Sección C. Avances y retrocesos en materia de negociación e implementación de acuerdos de solución amistosa. Disponible en: </w:t>
      </w:r>
      <w:hyperlink r:id="rId4" w:tgtFrame="_blank" w:tooltip="https://www.oas.org/es/cidh/docs/anual/2022/capitulos/4-ia2022_cap_2_es.pdf" w:history="1">
        <w:r w:rsidRPr="000A6206">
          <w:rPr>
            <w:rStyle w:val="Hyperlink"/>
            <w:rFonts w:ascii="Cambria" w:hAnsi="Cambria"/>
            <w:sz w:val="16"/>
            <w:szCs w:val="16"/>
            <w:lang w:val="es-AR"/>
          </w:rPr>
          <w:t>https://www.oas.org/es/cidh/docs/anual/2022/capitulos/4-IA2022_Cap_2_ES.pdf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4603050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1F1F2D" w:rsidP="00786A91">
    <w:pPr>
      <w:pStyle w:val="Header"/>
    </w:pPr>
    <w:r>
      <w:rPr>
        <w:noProof/>
      </w:rPr>
      <w:pict w14:anchorId="14E1C735">
        <v:rect id="_x0000_i1025" alt="" style="width:441.9pt;height:.05pt;mso-width-percent:0;mso-height-percent:0;mso-width-percent:0;mso-height-percent:0"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951335612"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214149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1F1F2D" w:rsidP="00986996">
    <w:pPr>
      <w:pStyle w:val="Header"/>
    </w:pPr>
    <w:r>
      <w:rPr>
        <w:noProof/>
      </w:rPr>
      <w:pict w14:anchorId="6C61DD87">
        <v:rect id="_x0000_i1026" alt="" style="width:441.9pt;height:.05pt;mso-width-percent:0;mso-height-percent:0;mso-width-percent:0;mso-height-percent:0"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898"/>
    <w:multiLevelType w:val="hybridMultilevel"/>
    <w:tmpl w:val="1736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3F0B"/>
    <w:multiLevelType w:val="hybridMultilevel"/>
    <w:tmpl w:val="38DE0034"/>
    <w:lvl w:ilvl="0" w:tplc="0EEE235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6"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41F66"/>
    <w:multiLevelType w:val="hybridMultilevel"/>
    <w:tmpl w:val="49DA9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1"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3CDF7F5E"/>
    <w:multiLevelType w:val="hybridMultilevel"/>
    <w:tmpl w:val="E21CF30C"/>
    <w:lvl w:ilvl="0" w:tplc="C80E52C4">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7B62DF"/>
    <w:multiLevelType w:val="hybridMultilevel"/>
    <w:tmpl w:val="95C050FE"/>
    <w:lvl w:ilvl="0" w:tplc="AE5A3C7E">
      <w:start w:val="1"/>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903577"/>
    <w:multiLevelType w:val="hybridMultilevel"/>
    <w:tmpl w:val="95EE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4"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8" w15:restartNumberingAfterBreak="0">
    <w:nsid w:val="50951C10"/>
    <w:multiLevelType w:val="hybridMultilevel"/>
    <w:tmpl w:val="D096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3"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6"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8"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2"/>
  </w:num>
  <w:num w:numId="2" w16cid:durableId="1198784672">
    <w:abstractNumId w:val="5"/>
  </w:num>
  <w:num w:numId="3" w16cid:durableId="946815819">
    <w:abstractNumId w:val="41"/>
  </w:num>
  <w:num w:numId="4" w16cid:durableId="1735083488">
    <w:abstractNumId w:val="25"/>
  </w:num>
  <w:num w:numId="5" w16cid:durableId="1809080309">
    <w:abstractNumId w:val="22"/>
  </w:num>
  <w:num w:numId="6" w16cid:durableId="2000111282">
    <w:abstractNumId w:val="44"/>
  </w:num>
  <w:num w:numId="7" w16cid:durableId="1182233948">
    <w:abstractNumId w:val="11"/>
  </w:num>
  <w:num w:numId="8" w16cid:durableId="653609088">
    <w:abstractNumId w:val="37"/>
  </w:num>
  <w:num w:numId="9" w16cid:durableId="263657786">
    <w:abstractNumId w:val="13"/>
  </w:num>
  <w:num w:numId="10" w16cid:durableId="1629429028">
    <w:abstractNumId w:val="4"/>
  </w:num>
  <w:num w:numId="11" w16cid:durableId="1415277257">
    <w:abstractNumId w:val="10"/>
  </w:num>
  <w:num w:numId="12" w16cid:durableId="98719486">
    <w:abstractNumId w:val="12"/>
  </w:num>
  <w:num w:numId="13" w16cid:durableId="643854056">
    <w:abstractNumId w:val="35"/>
  </w:num>
  <w:num w:numId="14" w16cid:durableId="1517694182">
    <w:abstractNumId w:val="15"/>
  </w:num>
  <w:num w:numId="15" w16cid:durableId="815797891">
    <w:abstractNumId w:val="40"/>
  </w:num>
  <w:num w:numId="16" w16cid:durableId="251282083">
    <w:abstractNumId w:val="8"/>
  </w:num>
  <w:num w:numId="17" w16cid:durableId="1185630687">
    <w:abstractNumId w:val="26"/>
  </w:num>
  <w:num w:numId="18" w16cid:durableId="938754063">
    <w:abstractNumId w:val="33"/>
  </w:num>
  <w:num w:numId="19" w16cid:durableId="287009962">
    <w:abstractNumId w:val="29"/>
  </w:num>
  <w:num w:numId="20" w16cid:durableId="1427114931">
    <w:abstractNumId w:val="0"/>
  </w:num>
  <w:num w:numId="21" w16cid:durableId="1996837994">
    <w:abstractNumId w:val="20"/>
  </w:num>
  <w:num w:numId="22" w16cid:durableId="1249198344">
    <w:abstractNumId w:val="1"/>
  </w:num>
  <w:num w:numId="23" w16cid:durableId="1945647392">
    <w:abstractNumId w:val="31"/>
  </w:num>
  <w:num w:numId="24" w16cid:durableId="537162661">
    <w:abstractNumId w:val="34"/>
  </w:num>
  <w:num w:numId="25" w16cid:durableId="1989938239">
    <w:abstractNumId w:val="23"/>
  </w:num>
  <w:num w:numId="26" w16cid:durableId="1967273059">
    <w:abstractNumId w:val="38"/>
  </w:num>
  <w:num w:numId="27" w16cid:durableId="1065761970">
    <w:abstractNumId w:val="16"/>
  </w:num>
  <w:num w:numId="28" w16cid:durableId="45295993">
    <w:abstractNumId w:val="6"/>
  </w:num>
  <w:num w:numId="29" w16cid:durableId="698167985">
    <w:abstractNumId w:val="27"/>
  </w:num>
  <w:num w:numId="30" w16cid:durableId="1709643113">
    <w:abstractNumId w:val="39"/>
  </w:num>
  <w:num w:numId="31" w16cid:durableId="934480746">
    <w:abstractNumId w:val="36"/>
  </w:num>
  <w:num w:numId="32" w16cid:durableId="541211672">
    <w:abstractNumId w:val="14"/>
  </w:num>
  <w:num w:numId="33" w16cid:durableId="1345130465">
    <w:abstractNumId w:val="32"/>
  </w:num>
  <w:num w:numId="34" w16cid:durableId="1757743752">
    <w:abstractNumId w:val="30"/>
  </w:num>
  <w:num w:numId="35" w16cid:durableId="83184206">
    <w:abstractNumId w:val="7"/>
  </w:num>
  <w:num w:numId="36" w16cid:durableId="1037505896">
    <w:abstractNumId w:val="43"/>
  </w:num>
  <w:num w:numId="37" w16cid:durableId="1162084678">
    <w:abstractNumId w:val="17"/>
  </w:num>
  <w:num w:numId="38" w16cid:durableId="247926190">
    <w:abstractNumId w:val="24"/>
  </w:num>
  <w:num w:numId="39" w16cid:durableId="445580875">
    <w:abstractNumId w:val="3"/>
  </w:num>
  <w:num w:numId="40" w16cid:durableId="141699055">
    <w:abstractNumId w:val="21"/>
  </w:num>
  <w:num w:numId="41" w16cid:durableId="520552984">
    <w:abstractNumId w:val="2"/>
  </w:num>
  <w:num w:numId="42" w16cid:durableId="751006063">
    <w:abstractNumId w:val="18"/>
  </w:num>
  <w:num w:numId="43" w16cid:durableId="1115254528">
    <w:abstractNumId w:val="28"/>
  </w:num>
  <w:num w:numId="44" w16cid:durableId="349378081">
    <w:abstractNumId w:val="9"/>
  </w:num>
  <w:num w:numId="45" w16cid:durableId="1386223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A6206"/>
    <w:rsid w:val="000F4520"/>
    <w:rsid w:val="000F6AC8"/>
    <w:rsid w:val="00106C59"/>
    <w:rsid w:val="00121A07"/>
    <w:rsid w:val="00132D55"/>
    <w:rsid w:val="00134455"/>
    <w:rsid w:val="00162E82"/>
    <w:rsid w:val="00163E52"/>
    <w:rsid w:val="00165C18"/>
    <w:rsid w:val="0016622B"/>
    <w:rsid w:val="00183508"/>
    <w:rsid w:val="001873B5"/>
    <w:rsid w:val="001B1DFD"/>
    <w:rsid w:val="001C0A6D"/>
    <w:rsid w:val="001C230A"/>
    <w:rsid w:val="001C3868"/>
    <w:rsid w:val="001F1F2D"/>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92591"/>
    <w:rsid w:val="002A1ED6"/>
    <w:rsid w:val="002A39B2"/>
    <w:rsid w:val="002B0B2A"/>
    <w:rsid w:val="002B46E1"/>
    <w:rsid w:val="002C446E"/>
    <w:rsid w:val="002D3FBD"/>
    <w:rsid w:val="002E03E0"/>
    <w:rsid w:val="00301A2A"/>
    <w:rsid w:val="00324282"/>
    <w:rsid w:val="00360412"/>
    <w:rsid w:val="00370712"/>
    <w:rsid w:val="00376A6A"/>
    <w:rsid w:val="00391158"/>
    <w:rsid w:val="00393310"/>
    <w:rsid w:val="003A30C8"/>
    <w:rsid w:val="003B3362"/>
    <w:rsid w:val="003B479F"/>
    <w:rsid w:val="003D4630"/>
    <w:rsid w:val="003E3690"/>
    <w:rsid w:val="00412204"/>
    <w:rsid w:val="0041423F"/>
    <w:rsid w:val="00425C1D"/>
    <w:rsid w:val="00433F54"/>
    <w:rsid w:val="004506DA"/>
    <w:rsid w:val="0047175E"/>
    <w:rsid w:val="00477809"/>
    <w:rsid w:val="00483B3C"/>
    <w:rsid w:val="00483CF7"/>
    <w:rsid w:val="00497B73"/>
    <w:rsid w:val="004A15BA"/>
    <w:rsid w:val="004A2550"/>
    <w:rsid w:val="004B6622"/>
    <w:rsid w:val="004C0674"/>
    <w:rsid w:val="004C4D9C"/>
    <w:rsid w:val="004D7999"/>
    <w:rsid w:val="004F3537"/>
    <w:rsid w:val="004F3B49"/>
    <w:rsid w:val="00515370"/>
    <w:rsid w:val="00525898"/>
    <w:rsid w:val="00545027"/>
    <w:rsid w:val="0055600F"/>
    <w:rsid w:val="00565615"/>
    <w:rsid w:val="005664CA"/>
    <w:rsid w:val="0058266E"/>
    <w:rsid w:val="0058688A"/>
    <w:rsid w:val="00590BCD"/>
    <w:rsid w:val="00593BAE"/>
    <w:rsid w:val="005A1DFD"/>
    <w:rsid w:val="005A32E4"/>
    <w:rsid w:val="005A5292"/>
    <w:rsid w:val="005A732D"/>
    <w:rsid w:val="005B23B6"/>
    <w:rsid w:val="005C5563"/>
    <w:rsid w:val="005E11CE"/>
    <w:rsid w:val="005E7D95"/>
    <w:rsid w:val="005F4AAA"/>
    <w:rsid w:val="00604132"/>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3765"/>
    <w:rsid w:val="006C60F3"/>
    <w:rsid w:val="006F0429"/>
    <w:rsid w:val="006F4B6C"/>
    <w:rsid w:val="006F6BBC"/>
    <w:rsid w:val="0070714C"/>
    <w:rsid w:val="007221CB"/>
    <w:rsid w:val="00745807"/>
    <w:rsid w:val="00747464"/>
    <w:rsid w:val="00754FFE"/>
    <w:rsid w:val="0075692A"/>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31582"/>
    <w:rsid w:val="00853611"/>
    <w:rsid w:val="0085420D"/>
    <w:rsid w:val="008550EF"/>
    <w:rsid w:val="008617A6"/>
    <w:rsid w:val="00863A25"/>
    <w:rsid w:val="008641C8"/>
    <w:rsid w:val="008776EB"/>
    <w:rsid w:val="0089637D"/>
    <w:rsid w:val="00897783"/>
    <w:rsid w:val="008B0045"/>
    <w:rsid w:val="008B0889"/>
    <w:rsid w:val="008B67EB"/>
    <w:rsid w:val="008E0DEF"/>
    <w:rsid w:val="008E3636"/>
    <w:rsid w:val="00913BF3"/>
    <w:rsid w:val="00917950"/>
    <w:rsid w:val="00921645"/>
    <w:rsid w:val="00931D14"/>
    <w:rsid w:val="009331A5"/>
    <w:rsid w:val="00933A89"/>
    <w:rsid w:val="00944F57"/>
    <w:rsid w:val="009477D5"/>
    <w:rsid w:val="00947DD3"/>
    <w:rsid w:val="00950102"/>
    <w:rsid w:val="00977EF7"/>
    <w:rsid w:val="00986996"/>
    <w:rsid w:val="0099077E"/>
    <w:rsid w:val="009A00A8"/>
    <w:rsid w:val="009A542A"/>
    <w:rsid w:val="009B480D"/>
    <w:rsid w:val="009C4D87"/>
    <w:rsid w:val="009C56C0"/>
    <w:rsid w:val="009D20DE"/>
    <w:rsid w:val="009F0FEB"/>
    <w:rsid w:val="009F1C70"/>
    <w:rsid w:val="009F77BA"/>
    <w:rsid w:val="00A07224"/>
    <w:rsid w:val="00A13D4B"/>
    <w:rsid w:val="00A179F1"/>
    <w:rsid w:val="00A25CA7"/>
    <w:rsid w:val="00A3232A"/>
    <w:rsid w:val="00A343FF"/>
    <w:rsid w:val="00A366BE"/>
    <w:rsid w:val="00A466C8"/>
    <w:rsid w:val="00A47FF7"/>
    <w:rsid w:val="00A56234"/>
    <w:rsid w:val="00A72869"/>
    <w:rsid w:val="00A74A1D"/>
    <w:rsid w:val="00A76D93"/>
    <w:rsid w:val="00A942E0"/>
    <w:rsid w:val="00AA0407"/>
    <w:rsid w:val="00AA4E4E"/>
    <w:rsid w:val="00AB09A9"/>
    <w:rsid w:val="00AC2BAD"/>
    <w:rsid w:val="00AE1768"/>
    <w:rsid w:val="00AE1B0F"/>
    <w:rsid w:val="00AE2597"/>
    <w:rsid w:val="00AF0CEC"/>
    <w:rsid w:val="00AF37E4"/>
    <w:rsid w:val="00B02BDD"/>
    <w:rsid w:val="00B033A1"/>
    <w:rsid w:val="00B056D9"/>
    <w:rsid w:val="00B17D1F"/>
    <w:rsid w:val="00B2161A"/>
    <w:rsid w:val="00B21FE2"/>
    <w:rsid w:val="00B37104"/>
    <w:rsid w:val="00B6696C"/>
    <w:rsid w:val="00B75824"/>
    <w:rsid w:val="00B806AC"/>
    <w:rsid w:val="00B90B9D"/>
    <w:rsid w:val="00B91191"/>
    <w:rsid w:val="00B91D8E"/>
    <w:rsid w:val="00B93993"/>
    <w:rsid w:val="00BA675E"/>
    <w:rsid w:val="00BB5902"/>
    <w:rsid w:val="00BC19D9"/>
    <w:rsid w:val="00BC4493"/>
    <w:rsid w:val="00BD37BE"/>
    <w:rsid w:val="00BD6A10"/>
    <w:rsid w:val="00BF33B2"/>
    <w:rsid w:val="00BF7310"/>
    <w:rsid w:val="00C04C07"/>
    <w:rsid w:val="00C1382E"/>
    <w:rsid w:val="00C40F2C"/>
    <w:rsid w:val="00C6690B"/>
    <w:rsid w:val="00CA2777"/>
    <w:rsid w:val="00CA3AA8"/>
    <w:rsid w:val="00CB0CA0"/>
    <w:rsid w:val="00CC4274"/>
    <w:rsid w:val="00CC5359"/>
    <w:rsid w:val="00CD3889"/>
    <w:rsid w:val="00CE2C06"/>
    <w:rsid w:val="00CF15CD"/>
    <w:rsid w:val="00CF64FA"/>
    <w:rsid w:val="00D05BCC"/>
    <w:rsid w:val="00D13990"/>
    <w:rsid w:val="00D1615C"/>
    <w:rsid w:val="00D222B7"/>
    <w:rsid w:val="00D5166A"/>
    <w:rsid w:val="00D56F83"/>
    <w:rsid w:val="00D809FF"/>
    <w:rsid w:val="00D82E91"/>
    <w:rsid w:val="00DB1E4A"/>
    <w:rsid w:val="00DB2CDF"/>
    <w:rsid w:val="00DB36E1"/>
    <w:rsid w:val="00DC20F2"/>
    <w:rsid w:val="00DD36BE"/>
    <w:rsid w:val="00DD4F27"/>
    <w:rsid w:val="00DD7443"/>
    <w:rsid w:val="00DD7AE6"/>
    <w:rsid w:val="00DF0FE5"/>
    <w:rsid w:val="00DF5550"/>
    <w:rsid w:val="00E04605"/>
    <w:rsid w:val="00E06D52"/>
    <w:rsid w:val="00E16AFE"/>
    <w:rsid w:val="00E24DFC"/>
    <w:rsid w:val="00E26E89"/>
    <w:rsid w:val="00E3040C"/>
    <w:rsid w:val="00E30888"/>
    <w:rsid w:val="00E3614A"/>
    <w:rsid w:val="00E52331"/>
    <w:rsid w:val="00E56BF2"/>
    <w:rsid w:val="00E62255"/>
    <w:rsid w:val="00E66C1B"/>
    <w:rsid w:val="00E72BD0"/>
    <w:rsid w:val="00E77756"/>
    <w:rsid w:val="00E82BFD"/>
    <w:rsid w:val="00EB1162"/>
    <w:rsid w:val="00EB3ACF"/>
    <w:rsid w:val="00EC03C5"/>
    <w:rsid w:val="00EC2A3C"/>
    <w:rsid w:val="00EC64BF"/>
    <w:rsid w:val="00ED4C58"/>
    <w:rsid w:val="00ED518E"/>
    <w:rsid w:val="00EF1B6E"/>
    <w:rsid w:val="00EF1BD7"/>
    <w:rsid w:val="00F0294F"/>
    <w:rsid w:val="00F04333"/>
    <w:rsid w:val="00F06E69"/>
    <w:rsid w:val="00F07B09"/>
    <w:rsid w:val="00F52F31"/>
    <w:rsid w:val="00F54F60"/>
    <w:rsid w:val="00F62F2B"/>
    <w:rsid w:val="00F659FE"/>
    <w:rsid w:val="00F66FEE"/>
    <w:rsid w:val="00F72E41"/>
    <w:rsid w:val="00F8544E"/>
    <w:rsid w:val="00FA0536"/>
    <w:rsid w:val="00FC0266"/>
    <w:rsid w:val="00FC66C2"/>
    <w:rsid w:val="00FD09E6"/>
    <w:rsid w:val="00FD7ED8"/>
    <w:rsid w:val="00FE15A7"/>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styleId="CommentReference">
    <w:name w:val="annotation reference"/>
    <w:basedOn w:val="DefaultParagraphFont"/>
    <w:uiPriority w:val="99"/>
    <w:semiHidden/>
    <w:unhideWhenUsed/>
    <w:rsid w:val="00BD6A10"/>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2/UR%20SA%20P-1376-19-ES-CM2-EM2-JM%20-PF-Final%20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2/UR%20SA%20P-1376-19-ES-CM2-EM2-JM%20-PF-Final%20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s://www.oas.org/es/cidh/decisiones/2022/UR%20SA%20P-1376-19-ES-CM2-EM2-JM%20-PF-Final%20WEB.pdf" TargetMode="External"/><Relationship Id="rId4" Type="http://schemas.openxmlformats.org/officeDocument/2006/relationships/hyperlink" Target="https://www.oas.org/es/cidh/docs/anual/2022/capitulos/4-IA2022_Cap_2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4.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